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267778">
        <w:trPr>
          <w:trHeight w:val="1191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18D71990" w:rsidR="009E77FC" w:rsidRPr="00267778" w:rsidRDefault="009B551F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267778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Ever</w:t>
            </w:r>
            <w:r w:rsidR="002D4D7A" w:rsidRPr="00267778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yd</w:t>
            </w:r>
            <w:r w:rsidRPr="00267778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ay Literacy Skills</w:t>
            </w:r>
          </w:p>
          <w:p w14:paraId="5F243DE7" w14:textId="10EB800C" w:rsidR="001A5E25" w:rsidRDefault="00FC32D8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1A4B1B56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4814702E" w:rsidR="001537F5" w:rsidRPr="006A7AAA" w:rsidRDefault="15FFD789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1A4B1B56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9B551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C3859">
              <w:rPr>
                <w:rFonts w:ascii="Arial" w:hAnsi="Arial" w:cs="Arial"/>
                <w:color w:val="auto"/>
                <w:sz w:val="24"/>
                <w:szCs w:val="24"/>
              </w:rPr>
              <w:t>need to develop skills to read, write and verbally communicate for everyday life.</w:t>
            </w:r>
          </w:p>
        </w:tc>
      </w:tr>
      <w:tr w:rsidR="006A7AAA" w:rsidRPr="001B70EC" w14:paraId="33F6A418" w14:textId="77777777" w:rsidTr="00865134">
        <w:trPr>
          <w:trHeight w:val="403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6D475840" w14:textId="77777777" w:rsidR="00267778" w:rsidRPr="00554492" w:rsidRDefault="00267778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980E8A2" w14:textId="6D594E16" w:rsidR="000C3859" w:rsidRPr="00EC6266" w:rsidRDefault="000C3859" w:rsidP="000C3859">
            <w:pPr>
              <w:pStyle w:val="ListParagraph"/>
              <w:widowControl w:val="0"/>
              <w:numPr>
                <w:ilvl w:val="0"/>
                <w:numId w:val="7"/>
              </w:numPr>
              <w:ind w:firstLine="44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C6266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Reading texts </w:t>
            </w:r>
          </w:p>
          <w:p w14:paraId="416985E0" w14:textId="77777777" w:rsidR="000C3859" w:rsidRPr="00EC6266" w:rsidRDefault="000C3859" w:rsidP="000C3859">
            <w:pPr>
              <w:pStyle w:val="ListParagraph"/>
              <w:widowControl w:val="0"/>
              <w:numPr>
                <w:ilvl w:val="0"/>
                <w:numId w:val="7"/>
              </w:numPr>
              <w:ind w:firstLine="44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C6266">
              <w:rPr>
                <w:rFonts w:ascii="Arial" w:hAnsi="Arial" w:cs="Arial"/>
                <w:sz w:val="24"/>
                <w:szCs w:val="24"/>
                <w14:ligatures w14:val="none"/>
              </w:rPr>
              <w:t>Some common spelling rules and spelling strategies</w:t>
            </w:r>
          </w:p>
          <w:p w14:paraId="0841BDA4" w14:textId="77777777" w:rsidR="000C3859" w:rsidRPr="00EC6266" w:rsidRDefault="000C3859" w:rsidP="000C3859">
            <w:pPr>
              <w:pStyle w:val="ListParagraph"/>
              <w:widowControl w:val="0"/>
              <w:numPr>
                <w:ilvl w:val="0"/>
                <w:numId w:val="7"/>
              </w:numPr>
              <w:ind w:firstLine="44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C6266">
              <w:rPr>
                <w:rFonts w:ascii="Arial" w:hAnsi="Arial" w:cs="Arial"/>
                <w:sz w:val="24"/>
                <w:szCs w:val="24"/>
                <w14:ligatures w14:val="none"/>
              </w:rPr>
              <w:t>Punctuation and grammar</w:t>
            </w:r>
          </w:p>
          <w:p w14:paraId="5D14F932" w14:textId="77777777" w:rsidR="000C3859" w:rsidRPr="00EC6266" w:rsidRDefault="000C3859" w:rsidP="000C3859">
            <w:pPr>
              <w:pStyle w:val="ListParagraph"/>
              <w:widowControl w:val="0"/>
              <w:numPr>
                <w:ilvl w:val="0"/>
                <w:numId w:val="7"/>
              </w:numPr>
              <w:ind w:firstLine="44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C6266">
              <w:rPr>
                <w:rFonts w:ascii="Arial" w:hAnsi="Arial" w:cs="Arial"/>
                <w:sz w:val="24"/>
                <w:szCs w:val="24"/>
                <w14:ligatures w14:val="none"/>
              </w:rPr>
              <w:t>Reading and selecting the main points and ideas</w:t>
            </w:r>
          </w:p>
          <w:p w14:paraId="08A8CAFC" w14:textId="77777777" w:rsidR="000C3859" w:rsidRPr="00EC6266" w:rsidRDefault="000C3859" w:rsidP="000C3859">
            <w:pPr>
              <w:pStyle w:val="ListParagraph"/>
              <w:widowControl w:val="0"/>
              <w:numPr>
                <w:ilvl w:val="0"/>
                <w:numId w:val="7"/>
              </w:numPr>
              <w:ind w:firstLine="44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C6266">
              <w:rPr>
                <w:rFonts w:ascii="Arial" w:hAnsi="Arial" w:cs="Arial"/>
                <w:sz w:val="24"/>
                <w:szCs w:val="24"/>
                <w14:ligatures w14:val="none"/>
              </w:rPr>
              <w:t>Writing for different purposes</w:t>
            </w:r>
          </w:p>
          <w:p w14:paraId="4E7FD487" w14:textId="77777777" w:rsidR="000C3859" w:rsidRDefault="000C3859" w:rsidP="000C3859">
            <w:pPr>
              <w:pStyle w:val="ListParagraph"/>
              <w:widowControl w:val="0"/>
              <w:numPr>
                <w:ilvl w:val="0"/>
                <w:numId w:val="7"/>
              </w:numPr>
              <w:ind w:firstLine="44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C6266">
              <w:rPr>
                <w:rFonts w:ascii="Arial" w:hAnsi="Arial" w:cs="Arial"/>
                <w:sz w:val="24"/>
                <w:szCs w:val="24"/>
                <w14:ligatures w14:val="none"/>
              </w:rPr>
              <w:t>Speaking and listening, exploring the importance of communication.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0B9A123" w14:textId="1CB6F8F1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6D87E4EB" w14:textId="23AEE98C" w:rsidR="006A7AAA" w:rsidRPr="006A7AAA" w:rsidRDefault="006A7AAA" w:rsidP="53EBC44B">
            <w:pP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</w:p>
          <w:p w14:paraId="45FB0818" w14:textId="2BA14282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1B70EC" w14:paraId="28891EA8" w14:textId="77777777" w:rsidTr="00267778">
        <w:trPr>
          <w:trHeight w:val="2152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1651FC" w14:textId="36613D00" w:rsidR="00FD36EE" w:rsidRDefault="000C3859" w:rsidP="000C3859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This course </w:t>
            </w:r>
            <w:r w:rsidR="00B44FE6">
              <w:rPr>
                <w:rStyle w:val="normaltextrun"/>
                <w:rFonts w:ascii="Arial" w:hAnsi="Arial" w:cs="Arial"/>
              </w:rPr>
              <w:t xml:space="preserve">is </w:t>
            </w:r>
            <w:r>
              <w:rPr>
                <w:rStyle w:val="normaltextrun"/>
                <w:rFonts w:ascii="Arial" w:hAnsi="Arial" w:cs="Arial"/>
              </w:rPr>
              <w:t>for adults who need to develop literacy skills to support independent living and everyday life skills.</w:t>
            </w:r>
          </w:p>
          <w:p w14:paraId="00E51E43" w14:textId="77777777" w:rsidR="000C3859" w:rsidRDefault="000C3859" w:rsidP="000C3859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rFonts w:ascii="Arial" w:hAnsi="Arial" w:cs="Arial"/>
              </w:rPr>
            </w:pPr>
          </w:p>
          <w:p w14:paraId="5CB5E68A" w14:textId="16855E42" w:rsidR="000C3859" w:rsidRDefault="000C3859" w:rsidP="00B44FE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Some basic reading and writing skills are required.</w:t>
            </w:r>
          </w:p>
          <w:p w14:paraId="1577CA31" w14:textId="77777777" w:rsidR="000C3859" w:rsidRDefault="000C3859" w:rsidP="00B44FE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IT skills would be useful but not </w:t>
            </w:r>
            <w:proofErr w:type="gramStart"/>
            <w:r>
              <w:rPr>
                <w:rStyle w:val="normaltextrun"/>
                <w:rFonts w:ascii="Arial" w:hAnsi="Arial" w:cs="Arial"/>
              </w:rPr>
              <w:t>essential</w:t>
            </w:r>
            <w:proofErr w:type="gramEnd"/>
            <w:r>
              <w:rPr>
                <w:rStyle w:val="normaltextrun"/>
                <w:rFonts w:ascii="Arial" w:hAnsi="Arial" w:cs="Arial"/>
              </w:rPr>
              <w:t xml:space="preserve"> </w:t>
            </w:r>
          </w:p>
          <w:p w14:paraId="049F31CB" w14:textId="7EE68749" w:rsidR="000C3859" w:rsidRPr="000C3859" w:rsidRDefault="00B44FE6" w:rsidP="00B44FE6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You need to be </w:t>
            </w:r>
            <w:r w:rsidR="000C3859">
              <w:rPr>
                <w:rStyle w:val="normaltextrun"/>
                <w:rFonts w:ascii="Arial" w:hAnsi="Arial" w:cs="Arial"/>
              </w:rPr>
              <w:t>able to follow verbal instructions and some basic written instructions</w:t>
            </w:r>
          </w:p>
        </w:tc>
      </w:tr>
      <w:tr w:rsidR="001537F5" w:rsidRPr="001B70EC" w14:paraId="0BC200E8" w14:textId="77777777" w:rsidTr="00267778">
        <w:trPr>
          <w:trHeight w:val="156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0104D67A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00AC3B73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</w:p>
          <w:p w14:paraId="1E2016B8" w14:textId="135B74E9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00267778">
        <w:trPr>
          <w:trHeight w:val="2422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7EBC4576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</w:t>
            </w:r>
            <w:r w:rsidR="34F9214F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/demonstration</w:t>
            </w: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Default="00753324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48EDC20C" w14:textId="77777777" w:rsidR="00865134" w:rsidRDefault="00865134" w:rsidP="3DDF6648">
            <w:pPr>
              <w:rPr>
                <w:rStyle w:val="normaltextrun"/>
                <w:rFonts w:eastAsia="Arial"/>
                <w:shd w:val="clear" w:color="auto" w:fill="FFFFFF"/>
              </w:rPr>
            </w:pPr>
          </w:p>
          <w:p w14:paraId="54C4D835" w14:textId="77777777" w:rsidR="00865134" w:rsidRPr="00F713FF" w:rsidRDefault="0086513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486C05" w14:textId="50B44D4D" w:rsidR="00F713FF" w:rsidRPr="00F713FF" w:rsidRDefault="00F713FF" w:rsidP="002D4D7A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1A4B1B56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43F575" w14:textId="24E79354" w:rsidR="001B70EC" w:rsidRPr="00BD4BD3" w:rsidRDefault="001A0701" w:rsidP="3DDF6648">
            <w:pPr>
              <w:widowControl w:val="0"/>
              <w:rPr>
                <w:rFonts w:ascii="Arial" w:eastAsia="Arial" w:hAnsi="Arial" w:cs="Arial"/>
                <w:color w:val="FF0000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this course, you can progress to</w:t>
            </w:r>
            <w:r w:rsidR="002D4D7A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a</w:t>
            </w: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</w:t>
            </w:r>
            <w:r w:rsidR="002D4D7A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Functional skills qualification, other community learning courses, a budgeting course </w:t>
            </w:r>
            <w:r w:rsidR="009D4792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or</w:t>
            </w:r>
            <w:r w:rsidR="002D4D7A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IT courses</w:t>
            </w:r>
            <w:r w:rsidR="009D4792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to become more confident using </w:t>
            </w:r>
            <w:r w:rsidR="0026777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digital technology for everyday life or employment.</w:t>
            </w:r>
          </w:p>
          <w:p w14:paraId="097E1467" w14:textId="48F25C2C" w:rsidR="001B70EC" w:rsidRPr="001A5E25" w:rsidRDefault="001B70EC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53D635D" w14:textId="1F198C8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64FCD855" w:rsid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 xml:space="preserve">V- </w:t>
      </w:r>
      <w:r w:rsidR="00430BE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July 23</w:t>
      </w:r>
    </w:p>
    <w:p w14:paraId="5E17361E" w14:textId="3B8403A0" w:rsidR="00430BE7" w:rsidRPr="00430BE7" w:rsidRDefault="00430BE7" w:rsidP="00430BE7">
      <w:pPr>
        <w:tabs>
          <w:tab w:val="left" w:pos="26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30BE7" w:rsidRPr="00430BE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1BF"/>
    <w:multiLevelType w:val="hybridMultilevel"/>
    <w:tmpl w:val="E3A867B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5306A7CE"/>
    <w:lvl w:ilvl="0" w:tplc="19A0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5D6B6E"/>
    <w:multiLevelType w:val="hybridMultilevel"/>
    <w:tmpl w:val="A8704524"/>
    <w:lvl w:ilvl="0" w:tplc="61C2D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58992">
    <w:abstractNumId w:val="1"/>
  </w:num>
  <w:num w:numId="2" w16cid:durableId="1975788842">
    <w:abstractNumId w:val="5"/>
  </w:num>
  <w:num w:numId="3" w16cid:durableId="1917857817">
    <w:abstractNumId w:val="2"/>
  </w:num>
  <w:num w:numId="4" w16cid:durableId="1548954274">
    <w:abstractNumId w:val="3"/>
  </w:num>
  <w:num w:numId="5" w16cid:durableId="1501578801">
    <w:abstractNumId w:val="6"/>
  </w:num>
  <w:num w:numId="6" w16cid:durableId="1458065417">
    <w:abstractNumId w:val="4"/>
  </w:num>
  <w:num w:numId="7" w16cid:durableId="599414809">
    <w:abstractNumId w:val="7"/>
  </w:num>
  <w:num w:numId="8" w16cid:durableId="5478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8204C"/>
    <w:rsid w:val="000B5D1D"/>
    <w:rsid w:val="000C3859"/>
    <w:rsid w:val="000D4B64"/>
    <w:rsid w:val="00124FE2"/>
    <w:rsid w:val="001537F5"/>
    <w:rsid w:val="0017325C"/>
    <w:rsid w:val="001A0701"/>
    <w:rsid w:val="001A5E25"/>
    <w:rsid w:val="001B2141"/>
    <w:rsid w:val="001B70EC"/>
    <w:rsid w:val="001F4D6A"/>
    <w:rsid w:val="00201568"/>
    <w:rsid w:val="002452FC"/>
    <w:rsid w:val="00267778"/>
    <w:rsid w:val="0029238C"/>
    <w:rsid w:val="002A1003"/>
    <w:rsid w:val="002D4D7A"/>
    <w:rsid w:val="002E014B"/>
    <w:rsid w:val="002E26E3"/>
    <w:rsid w:val="0035280C"/>
    <w:rsid w:val="00373F8F"/>
    <w:rsid w:val="0038006F"/>
    <w:rsid w:val="003D04D4"/>
    <w:rsid w:val="003F1032"/>
    <w:rsid w:val="00430BE7"/>
    <w:rsid w:val="00476855"/>
    <w:rsid w:val="00490F06"/>
    <w:rsid w:val="004A1011"/>
    <w:rsid w:val="004B5383"/>
    <w:rsid w:val="0053129F"/>
    <w:rsid w:val="00554492"/>
    <w:rsid w:val="00595201"/>
    <w:rsid w:val="005D37F6"/>
    <w:rsid w:val="006167FD"/>
    <w:rsid w:val="006A7AAA"/>
    <w:rsid w:val="006B42C3"/>
    <w:rsid w:val="006B6D3D"/>
    <w:rsid w:val="006F432D"/>
    <w:rsid w:val="00753324"/>
    <w:rsid w:val="00785291"/>
    <w:rsid w:val="007B47A1"/>
    <w:rsid w:val="007E7637"/>
    <w:rsid w:val="00820D16"/>
    <w:rsid w:val="008422E2"/>
    <w:rsid w:val="00855B07"/>
    <w:rsid w:val="00865134"/>
    <w:rsid w:val="008667BB"/>
    <w:rsid w:val="00881945"/>
    <w:rsid w:val="009117C5"/>
    <w:rsid w:val="00914EED"/>
    <w:rsid w:val="0095287A"/>
    <w:rsid w:val="00963C3C"/>
    <w:rsid w:val="009A0A6F"/>
    <w:rsid w:val="009B551F"/>
    <w:rsid w:val="009C06EC"/>
    <w:rsid w:val="009D4792"/>
    <w:rsid w:val="009E333C"/>
    <w:rsid w:val="009E77FC"/>
    <w:rsid w:val="009F7736"/>
    <w:rsid w:val="00A04050"/>
    <w:rsid w:val="00A52D64"/>
    <w:rsid w:val="00A538BD"/>
    <w:rsid w:val="00AA13B9"/>
    <w:rsid w:val="00AC3B73"/>
    <w:rsid w:val="00AE437E"/>
    <w:rsid w:val="00B10CEE"/>
    <w:rsid w:val="00B44FE6"/>
    <w:rsid w:val="00BA3977"/>
    <w:rsid w:val="00BD4BD3"/>
    <w:rsid w:val="00BF634C"/>
    <w:rsid w:val="00C04F91"/>
    <w:rsid w:val="00C064C7"/>
    <w:rsid w:val="00C067DD"/>
    <w:rsid w:val="00C63E97"/>
    <w:rsid w:val="00C7212F"/>
    <w:rsid w:val="00CA3CE1"/>
    <w:rsid w:val="00CC6646"/>
    <w:rsid w:val="00CD2928"/>
    <w:rsid w:val="00CF055A"/>
    <w:rsid w:val="00D1497F"/>
    <w:rsid w:val="00D60756"/>
    <w:rsid w:val="00DB0FAA"/>
    <w:rsid w:val="00DD780C"/>
    <w:rsid w:val="00E126E9"/>
    <w:rsid w:val="00E24FD4"/>
    <w:rsid w:val="00EB396E"/>
    <w:rsid w:val="00F0231F"/>
    <w:rsid w:val="00F70483"/>
    <w:rsid w:val="00F713FF"/>
    <w:rsid w:val="00FC32D8"/>
    <w:rsid w:val="00FD36EE"/>
    <w:rsid w:val="020DAFF4"/>
    <w:rsid w:val="0266C151"/>
    <w:rsid w:val="03DD6392"/>
    <w:rsid w:val="0D5DBF92"/>
    <w:rsid w:val="0F0B378A"/>
    <w:rsid w:val="0FB03950"/>
    <w:rsid w:val="0FF43E1C"/>
    <w:rsid w:val="10DAD6EE"/>
    <w:rsid w:val="14B7A9B0"/>
    <w:rsid w:val="15FFD789"/>
    <w:rsid w:val="16B584B7"/>
    <w:rsid w:val="1A4B1B56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1CCF2AA"/>
    <w:rsid w:val="34F9214F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75E958"/>
    <w:rsid w:val="45AA4779"/>
    <w:rsid w:val="462B5F61"/>
    <w:rsid w:val="474C7E11"/>
    <w:rsid w:val="47FF7DF1"/>
    <w:rsid w:val="481FD01D"/>
    <w:rsid w:val="4973A053"/>
    <w:rsid w:val="4B0FA9F7"/>
    <w:rsid w:val="4E8E8735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41B0844"/>
    <w:rsid w:val="78943E37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3D54C423-5101-4181-A97C-96D7FCE6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http://schemas.microsoft.com/office/2006/metadata/properties"/>
    <ds:schemaRef ds:uri="http://purl.org/dc/terms/"/>
    <ds:schemaRef ds:uri="57c981d3-d567-4661-bd5a-748cc0a44e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be908e2-d8cb-4286-939d-ce4789a1b5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7</cp:revision>
  <dcterms:created xsi:type="dcterms:W3CDTF">2023-08-23T13:29:00Z</dcterms:created>
  <dcterms:modified xsi:type="dcterms:W3CDTF">2023-08-23T13:59:00Z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