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161E" w14:textId="77777777" w:rsidR="005579AA" w:rsidRDefault="005579AA" w:rsidP="005579AA">
      <w:pPr>
        <w:shd w:val="clear" w:color="auto" w:fill="8EAADB" w:themeFill="accent1" w:themeFillTint="99"/>
        <w:spacing w:after="0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</w:p>
    <w:p w14:paraId="2A60274F" w14:textId="010E991C" w:rsidR="005579AA" w:rsidRDefault="005579AA" w:rsidP="005579AA">
      <w:pPr>
        <w:shd w:val="clear" w:color="auto" w:fill="8EAADB" w:themeFill="accent1" w:themeFillTint="99"/>
        <w:spacing w:after="0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F10AF7">
        <w:rPr>
          <w:rFonts w:ascii="Arial" w:hAnsi="Arial" w:cs="Arial"/>
          <w:b/>
          <w:color w:val="FFFFFF" w:themeColor="background1"/>
          <w:sz w:val="40"/>
          <w:szCs w:val="40"/>
        </w:rPr>
        <w:t xml:space="preserve">Business Process for the </w:t>
      </w:r>
      <w:r>
        <w:rPr>
          <w:rFonts w:ascii="Arial" w:hAnsi="Arial" w:cs="Arial"/>
          <w:b/>
          <w:color w:val="FFFFFF" w:themeColor="background1"/>
          <w:sz w:val="40"/>
          <w:szCs w:val="40"/>
        </w:rPr>
        <w:t>M</w:t>
      </w:r>
      <w:r w:rsidRPr="00F10AF7">
        <w:rPr>
          <w:rFonts w:ascii="Arial" w:hAnsi="Arial" w:cs="Arial"/>
          <w:b/>
          <w:color w:val="FFFFFF" w:themeColor="background1"/>
          <w:sz w:val="40"/>
          <w:szCs w:val="40"/>
        </w:rPr>
        <w:t xml:space="preserve">anagement of Stage </w:t>
      </w:r>
      <w:r w:rsidR="0062244E">
        <w:rPr>
          <w:rFonts w:ascii="Arial" w:hAnsi="Arial" w:cs="Arial"/>
          <w:b/>
          <w:color w:val="FFFFFF" w:themeColor="background1"/>
          <w:sz w:val="40"/>
          <w:szCs w:val="40"/>
        </w:rPr>
        <w:t xml:space="preserve">5 </w:t>
      </w:r>
      <w:r w:rsidRPr="00F10AF7">
        <w:rPr>
          <w:rFonts w:ascii="Arial" w:hAnsi="Arial" w:cs="Arial"/>
          <w:b/>
          <w:color w:val="FFFFFF" w:themeColor="background1"/>
          <w:sz w:val="40"/>
          <w:szCs w:val="40"/>
        </w:rPr>
        <w:t xml:space="preserve">Contacts </w:t>
      </w:r>
    </w:p>
    <w:p w14:paraId="45D0D432" w14:textId="77777777" w:rsidR="005579AA" w:rsidRPr="00F10AF7" w:rsidRDefault="005579AA" w:rsidP="005579AA">
      <w:pPr>
        <w:shd w:val="clear" w:color="auto" w:fill="8EAADB" w:themeFill="accent1" w:themeFillTint="99"/>
        <w:spacing w:after="0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</w:p>
    <w:p w14:paraId="77695B7A" w14:textId="77777777" w:rsidR="005579AA" w:rsidRDefault="005579AA" w:rsidP="005579AA">
      <w:pPr>
        <w:jc w:val="center"/>
        <w:rPr>
          <w:rFonts w:ascii="Arial" w:hAnsi="Arial" w:cs="Arial"/>
          <w:u w:val="single"/>
        </w:rPr>
      </w:pPr>
    </w:p>
    <w:p w14:paraId="1FE744F1" w14:textId="13F2A2D4" w:rsidR="005579AA" w:rsidRDefault="005579AA" w:rsidP="005579AA">
      <w:pPr>
        <w:spacing w:before="45" w:after="100" w:afterAutospacing="1"/>
        <w:ind w:right="230"/>
        <w:rPr>
          <w:rFonts w:ascii="Arial" w:hAnsi="Arial" w:cs="Arial"/>
          <w:sz w:val="24"/>
        </w:rPr>
      </w:pPr>
      <w:r w:rsidRPr="00131697">
        <w:rPr>
          <w:noProof/>
          <w:color w:val="1F3864" w:themeColor="accent1" w:themeShade="8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96F1466" wp14:editId="456E5A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38100" r="2540" b="3873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0" y="60"/>
                            <a:ext cx="16600" cy="0"/>
                          </a:xfrm>
                          <a:prstGeom prst="line">
                            <a:avLst/>
                          </a:prstGeom>
                          <a:noFill/>
                          <a:ln w="76200" cmpd="sng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0" y="0"/>
                            <a:ext cx="0" cy="11909"/>
                          </a:xfrm>
                          <a:prstGeom prst="line">
                            <a:avLst/>
                          </a:prstGeom>
                          <a:noFill/>
                          <a:ln w="76200" cmpd="sng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780" y="0"/>
                            <a:ext cx="0" cy="11909"/>
                          </a:xfrm>
                          <a:prstGeom prst="line">
                            <a:avLst/>
                          </a:prstGeom>
                          <a:noFill/>
                          <a:ln w="76200" cmpd="sng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0" y="11849"/>
                            <a:ext cx="16600" cy="0"/>
                          </a:xfrm>
                          <a:prstGeom prst="line">
                            <a:avLst/>
                          </a:prstGeom>
                          <a:noFill/>
                          <a:ln w="76200" cmpd="sng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80051" id="Group 6" o:spid="_x0000_s1026" style="position:absolute;margin-left:0;margin-top:0;width:842.05pt;height:595.45pt;z-index:-251656192;mso-position-horizontal-relative:page;mso-position-vertical-relative:page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">
                <v:line id="Line 8" o:spid="_x0000_s1027" style="position:absolute;visibility:visible;mso-wrap-style:square" from="120,60" to="1672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" strokecolor="#44546a [3215]" strokeweight="6pt">
                  <v:shadow color="#1f3763 [1604]" opacity=".5" offset="1pt"/>
                </v:line>
                <v:line id="Line 9" o:spid="_x0000_s1028" style="position:absolute;visibility:visible;mso-wrap-style:square" from="60,0" to="60,1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" strokecolor="#44546a [3215]" strokeweight="6pt">
                  <v:shadow color="#1f3763 [1604]" opacity=".5" offset="1pt"/>
                </v:line>
                <v:line id="Line 10" o:spid="_x0000_s1029" style="position:absolute;visibility:visible;mso-wrap-style:square" from="16780,0" to="16780,1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" strokecolor="#44546a [3215]" strokeweight="6pt">
                  <v:shadow color="#1f3763 [1604]" opacity=".5" offset="1pt"/>
                </v:line>
                <v:line id="Line 11" o:spid="_x0000_s1030" style="position:absolute;visibility:visible;mso-wrap-style:square" from="120,11849" to="16720,11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" strokecolor="#44546a [3215]" strokeweight="6pt">
                  <v:shadow color="#1f3763 [1604]" opacity=".5" offset="1pt"/>
                </v:line>
                <w10:wrap anchorx="page" anchory="page"/>
              </v:group>
            </w:pict>
          </mc:Fallback>
        </mc:AlternateContent>
      </w:r>
      <w:r w:rsidRPr="00131697">
        <w:rPr>
          <w:b/>
          <w:color w:val="1F3864" w:themeColor="accent1" w:themeShade="80"/>
          <w:sz w:val="28"/>
        </w:rPr>
        <w:t>Safeguarding Concerns</w:t>
      </w:r>
      <w:r>
        <w:rPr>
          <w:b/>
          <w:color w:val="1F3864" w:themeColor="accent1" w:themeShade="80"/>
          <w:sz w:val="28"/>
        </w:rPr>
        <w:t>-----</w:t>
      </w:r>
      <w:r w:rsidRPr="00DD5394">
        <w:rPr>
          <w:rFonts w:ascii="Arial" w:hAnsi="Arial" w:cs="Arial"/>
        </w:rPr>
        <w:t>Safeguarding concerns refer to the possible abuse</w:t>
      </w:r>
      <w:r w:rsidRPr="00DD5394">
        <w:rPr>
          <w:rFonts w:ascii="Arial" w:hAnsi="Arial" w:cs="Arial"/>
          <w:spacing w:val="-18"/>
        </w:rPr>
        <w:t xml:space="preserve"> </w:t>
      </w:r>
      <w:r w:rsidRPr="00DD5394">
        <w:rPr>
          <w:rFonts w:ascii="Arial" w:hAnsi="Arial" w:cs="Arial"/>
        </w:rPr>
        <w:t>or neglect of an adult with care and support</w:t>
      </w:r>
      <w:r w:rsidRPr="00DD5394">
        <w:rPr>
          <w:rFonts w:ascii="Arial" w:hAnsi="Arial" w:cs="Arial"/>
          <w:spacing w:val="-9"/>
        </w:rPr>
        <w:t xml:space="preserve"> </w:t>
      </w:r>
      <w:r w:rsidRPr="00DD5394">
        <w:rPr>
          <w:rFonts w:ascii="Arial" w:hAnsi="Arial" w:cs="Arial"/>
        </w:rPr>
        <w:t>needs but</w:t>
      </w:r>
      <w:r w:rsidR="006079E0">
        <w:rPr>
          <w:rFonts w:ascii="Arial" w:hAnsi="Arial" w:cs="Arial"/>
        </w:rPr>
        <w:t>,</w:t>
      </w:r>
      <w:r w:rsidRPr="00DD5394">
        <w:rPr>
          <w:rFonts w:ascii="Arial" w:hAnsi="Arial" w:cs="Arial"/>
        </w:rPr>
        <w:t xml:space="preserve"> to meet the criteria for safeguarding, the concern must have had (or is likely to have) a </w:t>
      </w:r>
      <w:r w:rsidRPr="00DD5394">
        <w:rPr>
          <w:rFonts w:ascii="Arial" w:hAnsi="Arial" w:cs="Arial"/>
          <w:b/>
        </w:rPr>
        <w:t xml:space="preserve">significant impact </w:t>
      </w:r>
      <w:r w:rsidRPr="00DD5394">
        <w:rPr>
          <w:rFonts w:ascii="Arial" w:hAnsi="Arial" w:cs="Arial"/>
        </w:rPr>
        <w:t>on the adult at</w:t>
      </w:r>
      <w:r w:rsidRPr="00DD5394">
        <w:rPr>
          <w:rFonts w:ascii="Arial" w:hAnsi="Arial" w:cs="Arial"/>
          <w:spacing w:val="-2"/>
        </w:rPr>
        <w:t xml:space="preserve"> </w:t>
      </w:r>
      <w:r w:rsidRPr="00DD5394">
        <w:rPr>
          <w:rFonts w:ascii="Arial" w:hAnsi="Arial" w:cs="Arial"/>
        </w:rPr>
        <w:t xml:space="preserve">risk.  An </w:t>
      </w:r>
      <w:r w:rsidRPr="00DD5394">
        <w:rPr>
          <w:rFonts w:ascii="Arial" w:hAnsi="Arial" w:cs="Arial"/>
          <w:b/>
        </w:rPr>
        <w:t xml:space="preserve">adult at risk </w:t>
      </w:r>
      <w:r w:rsidRPr="00DD5394">
        <w:rPr>
          <w:rFonts w:ascii="Arial" w:hAnsi="Arial" w:cs="Arial"/>
        </w:rPr>
        <w:t>is someone who is over the age of 18,</w:t>
      </w:r>
      <w:r w:rsidRPr="00DD5394">
        <w:rPr>
          <w:rFonts w:ascii="Arial" w:hAnsi="Arial" w:cs="Arial"/>
          <w:spacing w:val="-18"/>
        </w:rPr>
        <w:t xml:space="preserve"> </w:t>
      </w:r>
      <w:r w:rsidRPr="00DD5394">
        <w:rPr>
          <w:rFonts w:ascii="Arial" w:hAnsi="Arial" w:cs="Arial"/>
        </w:rPr>
        <w:t>who has needs for care and support, and who therefore</w:t>
      </w:r>
      <w:r w:rsidR="0059785F">
        <w:rPr>
          <w:rFonts w:ascii="Arial" w:hAnsi="Arial" w:cs="Arial"/>
        </w:rPr>
        <w:t>,</w:t>
      </w:r>
      <w:r w:rsidRPr="00DD5394">
        <w:rPr>
          <w:rFonts w:ascii="Arial" w:hAnsi="Arial" w:cs="Arial"/>
        </w:rPr>
        <w:t xml:space="preserve"> may not be able to protect themselves from abuse or</w:t>
      </w:r>
      <w:r w:rsidRPr="00DD5394">
        <w:rPr>
          <w:rFonts w:ascii="Arial" w:hAnsi="Arial" w:cs="Arial"/>
          <w:spacing w:val="-8"/>
        </w:rPr>
        <w:t xml:space="preserve"> </w:t>
      </w:r>
      <w:r w:rsidRPr="00DD5394">
        <w:rPr>
          <w:rFonts w:ascii="Arial" w:hAnsi="Arial" w:cs="Arial"/>
        </w:rPr>
        <w:t>neglect. It is</w:t>
      </w:r>
      <w:r w:rsidRPr="00DD5394">
        <w:rPr>
          <w:rFonts w:ascii="Arial" w:hAnsi="Arial" w:cs="Arial"/>
          <w:b/>
        </w:rPr>
        <w:t xml:space="preserve"> everyone’s</w:t>
      </w:r>
      <w:r w:rsidRPr="00DD5394">
        <w:rPr>
          <w:rFonts w:ascii="Arial" w:hAnsi="Arial" w:cs="Arial"/>
        </w:rPr>
        <w:t xml:space="preserve"> responsibility to recognise and report abuse and</w:t>
      </w:r>
      <w:r w:rsidRPr="00DD5394">
        <w:rPr>
          <w:rFonts w:ascii="Arial" w:hAnsi="Arial" w:cs="Arial"/>
          <w:spacing w:val="-3"/>
        </w:rPr>
        <w:t xml:space="preserve"> </w:t>
      </w:r>
      <w:r w:rsidRPr="00DD5394">
        <w:rPr>
          <w:rFonts w:ascii="Arial" w:hAnsi="Arial" w:cs="Arial"/>
        </w:rPr>
        <w:t>neglect.</w:t>
      </w:r>
    </w:p>
    <w:p w14:paraId="44DC7E12" w14:textId="3C18B731" w:rsidR="003762DB" w:rsidRPr="002E49D4" w:rsidRDefault="00321D6D" w:rsidP="005579AA">
      <w:pPr>
        <w:spacing w:before="76"/>
        <w:ind w:right="-53"/>
        <w:rPr>
          <w:rFonts w:ascii="Arial" w:hAnsi="Arial" w:cs="Arial"/>
          <w:b/>
          <w:color w:val="FF0000"/>
        </w:rPr>
      </w:pPr>
      <w:r w:rsidRPr="002E49D4">
        <w:rPr>
          <w:rFonts w:ascii="Arial" w:hAnsi="Arial" w:cs="Arial"/>
          <w:b/>
          <w:color w:val="FF0000"/>
        </w:rPr>
        <w:t xml:space="preserve">We are required to provide a proportionate and timely response to concerns raised within the </w:t>
      </w:r>
      <w:r w:rsidR="0023796B">
        <w:rPr>
          <w:rFonts w:ascii="Arial" w:hAnsi="Arial" w:cs="Arial"/>
          <w:b/>
          <w:color w:val="FF0000"/>
        </w:rPr>
        <w:t>B</w:t>
      </w:r>
      <w:r w:rsidRPr="002E49D4">
        <w:rPr>
          <w:rFonts w:ascii="Arial" w:hAnsi="Arial" w:cs="Arial"/>
          <w:b/>
          <w:color w:val="FF0000"/>
        </w:rPr>
        <w:t>orough of Sefton about the safety or welfare of an adult at risk.</w:t>
      </w:r>
    </w:p>
    <w:p w14:paraId="59DD58D2" w14:textId="77777777" w:rsidR="00321D6D" w:rsidRPr="00321D6D" w:rsidRDefault="00321D6D" w:rsidP="005579AA">
      <w:pPr>
        <w:spacing w:before="76"/>
        <w:ind w:right="-5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It is not possible to cover every scenario and guidance should be sought from senior officers where necessary</w:t>
      </w:r>
    </w:p>
    <w:p w14:paraId="1BA559CA" w14:textId="36C703C2" w:rsidR="005579AA" w:rsidRPr="00DD5394" w:rsidRDefault="005579AA" w:rsidP="005579AA">
      <w:pPr>
        <w:spacing w:before="76"/>
        <w:ind w:right="-53"/>
        <w:jc w:val="center"/>
        <w:rPr>
          <w:rFonts w:ascii="Arial" w:hAnsi="Arial" w:cs="Arial"/>
          <w:b/>
          <w:color w:val="2F5496" w:themeColor="accent1" w:themeShade="BF"/>
          <w:sz w:val="24"/>
          <w:u w:val="single"/>
        </w:rPr>
      </w:pPr>
      <w:r w:rsidRPr="00DD5394">
        <w:rPr>
          <w:rFonts w:ascii="Arial" w:hAnsi="Arial" w:cs="Arial"/>
          <w:b/>
          <w:color w:val="2F5496" w:themeColor="accent1" w:themeShade="BF"/>
          <w:sz w:val="24"/>
          <w:u w:val="single"/>
        </w:rPr>
        <w:t xml:space="preserve">Examples of when it is appropriate for the </w:t>
      </w:r>
      <w:r>
        <w:rPr>
          <w:rFonts w:ascii="Arial" w:hAnsi="Arial" w:cs="Arial"/>
          <w:b/>
          <w:color w:val="2F5496" w:themeColor="accent1" w:themeShade="BF"/>
          <w:sz w:val="24"/>
          <w:u w:val="single"/>
        </w:rPr>
        <w:t>C</w:t>
      </w:r>
      <w:r w:rsidRPr="00DD5394">
        <w:rPr>
          <w:rFonts w:ascii="Arial" w:hAnsi="Arial" w:cs="Arial"/>
          <w:b/>
          <w:color w:val="2F5496" w:themeColor="accent1" w:themeShade="BF"/>
          <w:sz w:val="24"/>
          <w:u w:val="single"/>
        </w:rPr>
        <w:t xml:space="preserve">ontact to be directed to a Stage </w:t>
      </w:r>
      <w:r w:rsidR="0062244E">
        <w:rPr>
          <w:rFonts w:ascii="Arial" w:hAnsi="Arial" w:cs="Arial"/>
          <w:b/>
          <w:color w:val="2F5496" w:themeColor="accent1" w:themeShade="BF"/>
          <w:sz w:val="24"/>
          <w:u w:val="single"/>
        </w:rPr>
        <w:t>5</w:t>
      </w:r>
      <w:r w:rsidRPr="00DD5394">
        <w:rPr>
          <w:rFonts w:ascii="Arial" w:hAnsi="Arial" w:cs="Arial"/>
          <w:b/>
          <w:color w:val="2F5496" w:themeColor="accent1" w:themeShade="BF"/>
          <w:sz w:val="24"/>
          <w:u w:val="single"/>
        </w:rPr>
        <w:t xml:space="preserve"> </w:t>
      </w:r>
      <w:r w:rsidR="0062244E">
        <w:rPr>
          <w:rFonts w:ascii="Arial" w:hAnsi="Arial" w:cs="Arial"/>
          <w:b/>
          <w:color w:val="2F5496" w:themeColor="accent1" w:themeShade="BF"/>
          <w:sz w:val="24"/>
          <w:u w:val="single"/>
        </w:rPr>
        <w:t xml:space="preserve">Safeguarding </w:t>
      </w:r>
      <w:r w:rsidRPr="00DD5394">
        <w:rPr>
          <w:rFonts w:ascii="Arial" w:hAnsi="Arial" w:cs="Arial"/>
          <w:b/>
          <w:color w:val="2F5496" w:themeColor="accent1" w:themeShade="BF"/>
          <w:sz w:val="24"/>
          <w:u w:val="single"/>
        </w:rPr>
        <w:t>Concern</w:t>
      </w:r>
    </w:p>
    <w:tbl>
      <w:tblPr>
        <w:tblW w:w="0" w:type="auto"/>
        <w:tblInd w:w="360" w:type="dxa"/>
        <w:tblBorders>
          <w:top w:val="single" w:sz="8" w:space="0" w:color="2F5496" w:themeColor="accent1" w:themeShade="BF"/>
          <w:left w:val="single" w:sz="8" w:space="0" w:color="2F5496" w:themeColor="accent1" w:themeShade="BF"/>
          <w:bottom w:val="single" w:sz="8" w:space="0" w:color="2F5496" w:themeColor="accent1" w:themeShade="BF"/>
          <w:right w:val="single" w:sz="8" w:space="0" w:color="2F5496" w:themeColor="accent1" w:themeShade="BF"/>
          <w:insideH w:val="single" w:sz="8" w:space="0" w:color="2F5496" w:themeColor="accent1" w:themeShade="BF"/>
          <w:insideV w:val="single" w:sz="8" w:space="0" w:color="2F5496" w:themeColor="accent1" w:themeShade="BF"/>
        </w:tblBorders>
        <w:shd w:val="clear" w:color="auto" w:fill="D9E2F3" w:themeFill="accent1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7"/>
        <w:gridCol w:w="9661"/>
      </w:tblGrid>
      <w:tr w:rsidR="005579AA" w:rsidRPr="0005726E" w14:paraId="36BC7101" w14:textId="77777777" w:rsidTr="005579AA">
        <w:trPr>
          <w:trHeight w:val="870"/>
        </w:trPr>
        <w:tc>
          <w:tcPr>
            <w:tcW w:w="5137" w:type="dxa"/>
            <w:shd w:val="clear" w:color="auto" w:fill="D9E2F3" w:themeFill="accent1" w:themeFillTint="33"/>
          </w:tcPr>
          <w:p w14:paraId="31726AA2" w14:textId="77777777" w:rsidR="005579AA" w:rsidRDefault="005579AA" w:rsidP="006A0F3F">
            <w:pPr>
              <w:pStyle w:val="TableParagraph"/>
              <w:ind w:left="0"/>
              <w:jc w:val="center"/>
              <w:rPr>
                <w:rFonts w:ascii="Times New Roman"/>
                <w:color w:val="2F5496" w:themeColor="accent1" w:themeShade="BF"/>
              </w:rPr>
            </w:pPr>
          </w:p>
          <w:p w14:paraId="0D7190F0" w14:textId="77777777" w:rsidR="005579AA" w:rsidRPr="00F33ED8" w:rsidRDefault="005579AA" w:rsidP="006A0F3F">
            <w:pPr>
              <w:pStyle w:val="TableParagraph"/>
              <w:ind w:left="0"/>
              <w:jc w:val="center"/>
              <w:rPr>
                <w:b/>
                <w:color w:val="2F5496" w:themeColor="accent1" w:themeShade="BF"/>
              </w:rPr>
            </w:pPr>
            <w:r w:rsidRPr="00F33ED8">
              <w:rPr>
                <w:b/>
                <w:color w:val="2F5496" w:themeColor="accent1" w:themeShade="BF"/>
              </w:rPr>
              <w:t xml:space="preserve">Issue  </w:t>
            </w:r>
          </w:p>
        </w:tc>
        <w:tc>
          <w:tcPr>
            <w:tcW w:w="9661" w:type="dxa"/>
            <w:shd w:val="clear" w:color="auto" w:fill="D9E2F3" w:themeFill="accent1" w:themeFillTint="33"/>
          </w:tcPr>
          <w:p w14:paraId="58D1F09F" w14:textId="77777777" w:rsidR="005579AA" w:rsidRPr="0005726E" w:rsidRDefault="005579AA" w:rsidP="006A0F3F">
            <w:pPr>
              <w:pStyle w:val="TableParagraph"/>
              <w:spacing w:before="10"/>
              <w:ind w:left="0"/>
              <w:rPr>
                <w:color w:val="2F5496" w:themeColor="accent1" w:themeShade="BF"/>
                <w:sz w:val="25"/>
              </w:rPr>
            </w:pPr>
          </w:p>
          <w:p w14:paraId="0908EEC3" w14:textId="54921B22" w:rsidR="005579AA" w:rsidRPr="0005726E" w:rsidRDefault="00BB122B" w:rsidP="006A0F3F">
            <w:pPr>
              <w:pStyle w:val="TableParagraph"/>
              <w:ind w:left="945"/>
              <w:jc w:val="center"/>
              <w:rPr>
                <w:b/>
                <w:color w:val="2F5496" w:themeColor="accent1" w:themeShade="BF"/>
                <w:sz w:val="24"/>
              </w:rPr>
            </w:pPr>
            <w:r>
              <w:rPr>
                <w:b/>
                <w:color w:val="2F5496" w:themeColor="accent1" w:themeShade="BF"/>
                <w:sz w:val="24"/>
                <w:u w:val="thick"/>
              </w:rPr>
              <w:t xml:space="preserve">Safeguarding </w:t>
            </w:r>
            <w:r w:rsidR="005579AA" w:rsidRPr="0005726E">
              <w:rPr>
                <w:b/>
                <w:color w:val="2F5496" w:themeColor="accent1" w:themeShade="BF"/>
                <w:sz w:val="24"/>
                <w:u w:val="thick"/>
              </w:rPr>
              <w:t>Concern</w:t>
            </w:r>
          </w:p>
        </w:tc>
      </w:tr>
      <w:tr w:rsidR="00904BEC" w:rsidRPr="0005726E" w14:paraId="3976EE05" w14:textId="77777777" w:rsidTr="005579AA">
        <w:trPr>
          <w:trHeight w:val="870"/>
        </w:trPr>
        <w:tc>
          <w:tcPr>
            <w:tcW w:w="5137" w:type="dxa"/>
            <w:shd w:val="clear" w:color="auto" w:fill="D9E2F3" w:themeFill="accent1" w:themeFillTint="33"/>
          </w:tcPr>
          <w:p w14:paraId="7647F5BF" w14:textId="77777777" w:rsidR="00904BEC" w:rsidRDefault="00904BEC" w:rsidP="00904BEC">
            <w:pPr>
              <w:pStyle w:val="TableParagraph"/>
              <w:ind w:left="0"/>
              <w:jc w:val="center"/>
              <w:rPr>
                <w:rFonts w:ascii="Times New Roman"/>
                <w:color w:val="2F5496" w:themeColor="accent1" w:themeShade="BF"/>
              </w:rPr>
            </w:pPr>
          </w:p>
          <w:p w14:paraId="41AB9E0B" w14:textId="77777777" w:rsidR="00904BEC" w:rsidRPr="00841F44" w:rsidRDefault="00904BEC" w:rsidP="00904BEC">
            <w:pPr>
              <w:pStyle w:val="TableParagraph"/>
              <w:ind w:left="0"/>
              <w:jc w:val="center"/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Impact of Challenging Behaviour of a Service User on Another i.e. Pushing, Hitting, Spitting, Kicking etc.</w:t>
            </w:r>
          </w:p>
        </w:tc>
        <w:tc>
          <w:tcPr>
            <w:tcW w:w="9661" w:type="dxa"/>
            <w:shd w:val="clear" w:color="auto" w:fill="D9E2F3" w:themeFill="accent1" w:themeFillTint="33"/>
          </w:tcPr>
          <w:p w14:paraId="6FDAD6FF" w14:textId="2162ACA0" w:rsidR="00904BEC" w:rsidRPr="004672DA" w:rsidRDefault="00904BEC" w:rsidP="00C83B17">
            <w:pPr>
              <w:pStyle w:val="TableParagraph"/>
              <w:spacing w:before="10"/>
              <w:ind w:left="0"/>
              <w:jc w:val="both"/>
              <w:rPr>
                <w:color w:val="2F5496" w:themeColor="accent1" w:themeShade="BF"/>
                <w:sz w:val="20"/>
                <w:szCs w:val="20"/>
              </w:rPr>
            </w:pPr>
            <w:r w:rsidRPr="004672DA">
              <w:rPr>
                <w:color w:val="2F5496" w:themeColor="accent1" w:themeShade="BF"/>
                <w:sz w:val="20"/>
                <w:szCs w:val="20"/>
              </w:rPr>
              <w:t>Repeat incident</w:t>
            </w:r>
            <w:r w:rsidR="004F3DF0">
              <w:rPr>
                <w:color w:val="2F5496" w:themeColor="accent1" w:themeShade="BF"/>
                <w:sz w:val="20"/>
                <w:szCs w:val="20"/>
              </w:rPr>
              <w:t xml:space="preserve"> b</w:t>
            </w:r>
            <w:r w:rsidR="00233D51">
              <w:rPr>
                <w:color w:val="2F5496" w:themeColor="accent1" w:themeShade="BF"/>
                <w:sz w:val="20"/>
                <w:szCs w:val="20"/>
              </w:rPr>
              <w:t xml:space="preserve">etween two adults sharing the same care home or day care service and 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>harm occurred.  Relevant parties dissatisfied with proposed management as a quality, care concern.</w:t>
            </w:r>
            <w:r w:rsidR="003935AD">
              <w:rPr>
                <w:color w:val="2F5496" w:themeColor="accent1" w:themeShade="BF"/>
                <w:sz w:val="20"/>
                <w:szCs w:val="20"/>
              </w:rPr>
              <w:t xml:space="preserve"> Service Provider unable to provide an up-to-date Care Plan or Risk Assessment </w:t>
            </w:r>
          </w:p>
        </w:tc>
      </w:tr>
      <w:tr w:rsidR="00904BEC" w:rsidRPr="0005726E" w14:paraId="3A2824B9" w14:textId="77777777" w:rsidTr="005579AA">
        <w:trPr>
          <w:trHeight w:val="959"/>
        </w:trPr>
        <w:tc>
          <w:tcPr>
            <w:tcW w:w="5137" w:type="dxa"/>
            <w:shd w:val="clear" w:color="auto" w:fill="D9E2F3" w:themeFill="accent1" w:themeFillTint="33"/>
          </w:tcPr>
          <w:p w14:paraId="2296198C" w14:textId="77777777" w:rsidR="00904BEC" w:rsidRPr="0005726E" w:rsidRDefault="00904BEC" w:rsidP="00904BEC">
            <w:pPr>
              <w:pStyle w:val="TableParagraph"/>
              <w:spacing w:before="10"/>
              <w:ind w:left="0"/>
              <w:rPr>
                <w:color w:val="2F5496" w:themeColor="accent1" w:themeShade="BF"/>
                <w:sz w:val="29"/>
              </w:rPr>
            </w:pPr>
          </w:p>
          <w:p w14:paraId="735EE0A1" w14:textId="52CA49C4" w:rsidR="00904BEC" w:rsidRPr="0005726E" w:rsidRDefault="00904BEC" w:rsidP="00904BEC">
            <w:pPr>
              <w:pStyle w:val="TableParagraph"/>
              <w:ind w:left="1118" w:right="1099"/>
              <w:jc w:val="center"/>
              <w:rPr>
                <w:b/>
                <w:color w:val="2F5496" w:themeColor="accent1" w:themeShade="BF"/>
                <w:sz w:val="24"/>
              </w:rPr>
            </w:pPr>
            <w:r w:rsidRPr="0005726E">
              <w:rPr>
                <w:b/>
                <w:color w:val="2F5496" w:themeColor="accent1" w:themeShade="BF"/>
                <w:sz w:val="24"/>
              </w:rPr>
              <w:t>Falls</w:t>
            </w:r>
          </w:p>
        </w:tc>
        <w:tc>
          <w:tcPr>
            <w:tcW w:w="9661" w:type="dxa"/>
            <w:shd w:val="clear" w:color="auto" w:fill="D9E2F3" w:themeFill="accent1" w:themeFillTint="33"/>
          </w:tcPr>
          <w:p w14:paraId="03DEAF73" w14:textId="77777777" w:rsidR="00904BEC" w:rsidRPr="004672DA" w:rsidRDefault="00904BEC" w:rsidP="00904BEC">
            <w:pPr>
              <w:pStyle w:val="Default"/>
              <w:jc w:val="both"/>
              <w:rPr>
                <w:color w:val="2F5496" w:themeColor="accent1" w:themeShade="BF"/>
                <w:sz w:val="20"/>
                <w:szCs w:val="20"/>
              </w:rPr>
            </w:pPr>
            <w:r w:rsidRPr="004672DA">
              <w:rPr>
                <w:color w:val="2F5496" w:themeColor="accent1" w:themeShade="BF"/>
                <w:sz w:val="20"/>
                <w:szCs w:val="20"/>
              </w:rPr>
              <w:t xml:space="preserve">Where a person sustains an injury due to a fall and there is a concern that a </w:t>
            </w:r>
            <w:r w:rsidRPr="004672DA">
              <w:rPr>
                <w:b/>
                <w:color w:val="2F5496" w:themeColor="accent1" w:themeShade="BF"/>
                <w:sz w:val="20"/>
                <w:szCs w:val="20"/>
              </w:rPr>
              <w:t>risk assessment is not in place or was not followed, then this must be reported as a Safeguarding Concern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 xml:space="preserve"> because this amounts to neglect on the part of the care provider. </w:t>
            </w:r>
          </w:p>
          <w:p w14:paraId="19DC795A" w14:textId="37307289" w:rsidR="00904BEC" w:rsidRPr="004672DA" w:rsidRDefault="00904BEC" w:rsidP="00904BEC">
            <w:pPr>
              <w:pStyle w:val="TableParagraph"/>
              <w:spacing w:line="244" w:lineRule="exact"/>
              <w:ind w:left="9"/>
              <w:rPr>
                <w:color w:val="2F5496" w:themeColor="accent1" w:themeShade="BF"/>
                <w:sz w:val="20"/>
                <w:szCs w:val="20"/>
              </w:rPr>
            </w:pPr>
          </w:p>
        </w:tc>
      </w:tr>
      <w:tr w:rsidR="00904BEC" w:rsidRPr="0005726E" w14:paraId="75CA4F67" w14:textId="77777777" w:rsidTr="005579AA">
        <w:trPr>
          <w:trHeight w:val="959"/>
        </w:trPr>
        <w:tc>
          <w:tcPr>
            <w:tcW w:w="5137" w:type="dxa"/>
            <w:shd w:val="clear" w:color="auto" w:fill="D9E2F3" w:themeFill="accent1" w:themeFillTint="33"/>
          </w:tcPr>
          <w:p w14:paraId="31159B6F" w14:textId="77777777" w:rsidR="00904BEC" w:rsidRDefault="00904BEC" w:rsidP="00904BEC">
            <w:pPr>
              <w:pStyle w:val="TableParagraph"/>
              <w:spacing w:before="10"/>
              <w:ind w:left="0"/>
              <w:jc w:val="center"/>
              <w:rPr>
                <w:b/>
                <w:color w:val="2F5496" w:themeColor="accent1" w:themeShade="BF"/>
              </w:rPr>
            </w:pPr>
          </w:p>
          <w:p w14:paraId="24F8BD14" w14:textId="77777777" w:rsidR="00904BEC" w:rsidRPr="00584277" w:rsidRDefault="00904BEC" w:rsidP="00904BEC">
            <w:pPr>
              <w:pStyle w:val="TableParagraph"/>
              <w:spacing w:before="10"/>
              <w:ind w:left="0"/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 w:rsidRPr="00584277">
              <w:rPr>
                <w:b/>
                <w:color w:val="2F5496" w:themeColor="accent1" w:themeShade="BF"/>
                <w:sz w:val="24"/>
                <w:szCs w:val="24"/>
              </w:rPr>
              <w:t>Physiological Abuse</w:t>
            </w:r>
          </w:p>
        </w:tc>
        <w:tc>
          <w:tcPr>
            <w:tcW w:w="9661" w:type="dxa"/>
            <w:shd w:val="clear" w:color="auto" w:fill="D9E2F3" w:themeFill="accent1" w:themeFillTint="33"/>
          </w:tcPr>
          <w:p w14:paraId="4D34D075" w14:textId="0BE33841" w:rsidR="00904BEC" w:rsidRDefault="008A1A46" w:rsidP="00904BEC">
            <w:pPr>
              <w:pStyle w:val="TableParagraph"/>
              <w:spacing w:line="244" w:lineRule="exact"/>
              <w:ind w:left="9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 xml:space="preserve">Adult shows signs of distress </w:t>
            </w:r>
            <w:r w:rsidR="0069109E">
              <w:rPr>
                <w:color w:val="2F5496" w:themeColor="accent1" w:themeShade="BF"/>
                <w:sz w:val="20"/>
                <w:szCs w:val="20"/>
              </w:rPr>
              <w:t xml:space="preserve">and discloses being spoken to </w:t>
            </w:r>
            <w:r w:rsidR="00231D38">
              <w:rPr>
                <w:color w:val="2F5496" w:themeColor="accent1" w:themeShade="BF"/>
                <w:sz w:val="20"/>
                <w:szCs w:val="20"/>
              </w:rPr>
              <w:t xml:space="preserve">in a manner that was disrespectful and </w:t>
            </w:r>
            <w:r w:rsidR="00764D04">
              <w:rPr>
                <w:color w:val="2F5496" w:themeColor="accent1" w:themeShade="BF"/>
                <w:sz w:val="20"/>
                <w:szCs w:val="20"/>
              </w:rPr>
              <w:t>hurtful,</w:t>
            </w:r>
            <w:r w:rsidR="00AF7961">
              <w:rPr>
                <w:color w:val="2F5496" w:themeColor="accent1" w:themeShade="BF"/>
                <w:sz w:val="20"/>
                <w:szCs w:val="20"/>
              </w:rPr>
              <w:t xml:space="preserve"> or this behav</w:t>
            </w:r>
            <w:r w:rsidR="00301A38">
              <w:rPr>
                <w:color w:val="2F5496" w:themeColor="accent1" w:themeShade="BF"/>
                <w:sz w:val="20"/>
                <w:szCs w:val="20"/>
              </w:rPr>
              <w:t>iour is witnessed or reported by another.  Perso</w:t>
            </w:r>
            <w:r w:rsidR="00764D04">
              <w:rPr>
                <w:color w:val="2F5496" w:themeColor="accent1" w:themeShade="BF"/>
                <w:sz w:val="20"/>
                <w:szCs w:val="20"/>
              </w:rPr>
              <w:t xml:space="preserve">n is isolated </w:t>
            </w:r>
            <w:r w:rsidR="000D37E5">
              <w:rPr>
                <w:color w:val="2F5496" w:themeColor="accent1" w:themeShade="BF"/>
                <w:sz w:val="20"/>
                <w:szCs w:val="20"/>
              </w:rPr>
              <w:t>and excluded</w:t>
            </w:r>
            <w:r w:rsidR="00807CAC">
              <w:rPr>
                <w:color w:val="2F5496" w:themeColor="accent1" w:themeShade="BF"/>
                <w:sz w:val="20"/>
                <w:szCs w:val="20"/>
              </w:rPr>
              <w:t>.  Repeat incident</w:t>
            </w:r>
            <w:r w:rsidR="00582591">
              <w:rPr>
                <w:color w:val="2F5496" w:themeColor="accent1" w:themeShade="BF"/>
                <w:sz w:val="20"/>
                <w:szCs w:val="20"/>
              </w:rPr>
              <w:t>.  May include hate crime, emotional abuse, threats of aband</w:t>
            </w:r>
            <w:r w:rsidR="00B54DBA">
              <w:rPr>
                <w:color w:val="2F5496" w:themeColor="accent1" w:themeShade="BF"/>
                <w:sz w:val="20"/>
                <w:szCs w:val="20"/>
              </w:rPr>
              <w:t xml:space="preserve">onment, deprivation </w:t>
            </w:r>
            <w:r w:rsidR="00617E07">
              <w:rPr>
                <w:color w:val="2F5496" w:themeColor="accent1" w:themeShade="BF"/>
                <w:sz w:val="20"/>
                <w:szCs w:val="20"/>
              </w:rPr>
              <w:t xml:space="preserve">of contact, humiliation, blaming, isolation, unreasonable unjustified withdrawal of services </w:t>
            </w:r>
            <w:r w:rsidR="008C3E56">
              <w:rPr>
                <w:color w:val="2F5496" w:themeColor="accent1" w:themeShade="BF"/>
                <w:sz w:val="20"/>
                <w:szCs w:val="20"/>
              </w:rPr>
              <w:t>and supportive networks, controlling, intimidation</w:t>
            </w:r>
            <w:r w:rsidR="00463070">
              <w:rPr>
                <w:color w:val="2F5496" w:themeColor="accent1" w:themeShade="BF"/>
                <w:sz w:val="20"/>
                <w:szCs w:val="20"/>
              </w:rPr>
              <w:t xml:space="preserve">, coercion, harassment, verbal abuse, cyber </w:t>
            </w:r>
            <w:r w:rsidR="00C44A4D">
              <w:rPr>
                <w:color w:val="2F5496" w:themeColor="accent1" w:themeShade="BF"/>
                <w:sz w:val="20"/>
                <w:szCs w:val="20"/>
              </w:rPr>
              <w:t>bullying, phone texting, social media</w:t>
            </w:r>
            <w:r w:rsidR="00886A3D">
              <w:rPr>
                <w:color w:val="2F5496" w:themeColor="accent1" w:themeShade="BF"/>
                <w:sz w:val="20"/>
                <w:szCs w:val="20"/>
              </w:rPr>
              <w:t>, regular or ongoing radicalisation</w:t>
            </w:r>
            <w:r w:rsidR="00A314C4">
              <w:rPr>
                <w:color w:val="2F5496" w:themeColor="accent1" w:themeShade="BF"/>
                <w:sz w:val="20"/>
                <w:szCs w:val="20"/>
              </w:rPr>
              <w:t>, forced marriage</w:t>
            </w:r>
          </w:p>
          <w:p w14:paraId="757A743D" w14:textId="3E7297C2" w:rsidR="00FB0CB5" w:rsidRPr="004672DA" w:rsidRDefault="00FB0CB5" w:rsidP="00904BEC">
            <w:pPr>
              <w:pStyle w:val="TableParagraph"/>
              <w:spacing w:line="244" w:lineRule="exact"/>
              <w:ind w:left="9"/>
              <w:rPr>
                <w:color w:val="2F5496" w:themeColor="accent1" w:themeShade="BF"/>
                <w:sz w:val="20"/>
                <w:szCs w:val="20"/>
              </w:rPr>
            </w:pPr>
          </w:p>
        </w:tc>
      </w:tr>
      <w:tr w:rsidR="00904BEC" w:rsidRPr="0005726E" w14:paraId="24158E6F" w14:textId="77777777" w:rsidTr="005579AA">
        <w:trPr>
          <w:trHeight w:val="870"/>
        </w:trPr>
        <w:tc>
          <w:tcPr>
            <w:tcW w:w="5137" w:type="dxa"/>
            <w:shd w:val="clear" w:color="auto" w:fill="D9E2F3" w:themeFill="accent1" w:themeFillTint="33"/>
          </w:tcPr>
          <w:p w14:paraId="50BE41A4" w14:textId="77777777" w:rsidR="00904BEC" w:rsidRPr="0005726E" w:rsidRDefault="00904BEC" w:rsidP="00904BEC">
            <w:pPr>
              <w:pStyle w:val="TableParagraph"/>
              <w:spacing w:before="10"/>
              <w:ind w:left="0"/>
              <w:rPr>
                <w:color w:val="2F5496" w:themeColor="accent1" w:themeShade="BF"/>
                <w:sz w:val="25"/>
              </w:rPr>
            </w:pPr>
          </w:p>
          <w:p w14:paraId="2DE90C38" w14:textId="77777777" w:rsidR="00904BEC" w:rsidRPr="0005726E" w:rsidRDefault="00904BEC" w:rsidP="00904BEC">
            <w:pPr>
              <w:pStyle w:val="TableParagraph"/>
              <w:ind w:left="1118" w:right="1098"/>
              <w:jc w:val="center"/>
              <w:rPr>
                <w:b/>
                <w:color w:val="2F5496" w:themeColor="accent1" w:themeShade="BF"/>
                <w:sz w:val="24"/>
              </w:rPr>
            </w:pPr>
            <w:r w:rsidRPr="0005726E">
              <w:rPr>
                <w:b/>
                <w:color w:val="2F5496" w:themeColor="accent1" w:themeShade="BF"/>
                <w:sz w:val="24"/>
              </w:rPr>
              <w:t>Manual Handling</w:t>
            </w:r>
          </w:p>
        </w:tc>
        <w:tc>
          <w:tcPr>
            <w:tcW w:w="9661" w:type="dxa"/>
            <w:shd w:val="clear" w:color="auto" w:fill="D9E2F3" w:themeFill="accent1" w:themeFillTint="33"/>
          </w:tcPr>
          <w:p w14:paraId="7F1D4C07" w14:textId="77777777" w:rsidR="00F9661E" w:rsidRPr="004672DA" w:rsidRDefault="00F9661E" w:rsidP="00F9661E">
            <w:pPr>
              <w:pStyle w:val="TableParagraph"/>
              <w:spacing w:before="81" w:line="235" w:lineRule="auto"/>
              <w:ind w:left="-18" w:right="164"/>
              <w:rPr>
                <w:color w:val="2F5496" w:themeColor="accent1" w:themeShade="BF"/>
                <w:sz w:val="20"/>
                <w:szCs w:val="20"/>
              </w:rPr>
            </w:pPr>
            <w:r w:rsidRPr="004672DA">
              <w:rPr>
                <w:color w:val="2F5496" w:themeColor="accent1" w:themeShade="BF"/>
                <w:sz w:val="20"/>
                <w:szCs w:val="20"/>
              </w:rPr>
              <w:t>Significant injury or loss of dignity caused to the person as a result of poor manual</w:t>
            </w:r>
            <w:r w:rsidRPr="004672DA">
              <w:rPr>
                <w:color w:val="2F5496" w:themeColor="accent1" w:themeShade="BF"/>
                <w:spacing w:val="-14"/>
                <w:sz w:val="20"/>
                <w:szCs w:val="20"/>
              </w:rPr>
              <w:t xml:space="preserve"> 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>handling</w:t>
            </w:r>
          </w:p>
          <w:p w14:paraId="608687D3" w14:textId="21FAAE84" w:rsidR="00904BEC" w:rsidRPr="004672DA" w:rsidRDefault="00F9661E" w:rsidP="00F9661E">
            <w:pPr>
              <w:pStyle w:val="TableParagraph"/>
              <w:spacing w:before="86" w:line="237" w:lineRule="auto"/>
              <w:ind w:left="9" w:right="140"/>
              <w:jc w:val="both"/>
              <w:rPr>
                <w:color w:val="2F5496" w:themeColor="accent1" w:themeShade="BF"/>
                <w:sz w:val="20"/>
                <w:szCs w:val="20"/>
              </w:rPr>
            </w:pPr>
            <w:r w:rsidRPr="004672DA">
              <w:rPr>
                <w:color w:val="2F5496" w:themeColor="accent1" w:themeShade="BF"/>
                <w:sz w:val="20"/>
                <w:szCs w:val="20"/>
              </w:rPr>
              <w:t xml:space="preserve">Repeated episodes or failure to be able to provide evidence of </w:t>
            </w:r>
            <w:r>
              <w:rPr>
                <w:color w:val="2F5496" w:themeColor="accent1" w:themeShade="BF"/>
                <w:sz w:val="20"/>
                <w:szCs w:val="20"/>
              </w:rPr>
              <w:t xml:space="preserve">Care Plan adherence, 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>recent training or staff rotas</w:t>
            </w:r>
          </w:p>
        </w:tc>
      </w:tr>
      <w:tr w:rsidR="00904BEC" w:rsidRPr="0005726E" w14:paraId="04472E72" w14:textId="77777777" w:rsidTr="005579AA">
        <w:trPr>
          <w:trHeight w:val="870"/>
        </w:trPr>
        <w:tc>
          <w:tcPr>
            <w:tcW w:w="5137" w:type="dxa"/>
            <w:shd w:val="clear" w:color="auto" w:fill="D9E2F3" w:themeFill="accent1" w:themeFillTint="33"/>
          </w:tcPr>
          <w:p w14:paraId="6A05F790" w14:textId="77777777" w:rsidR="00904BEC" w:rsidRPr="0005726E" w:rsidRDefault="00904BEC" w:rsidP="00904BEC">
            <w:pPr>
              <w:pStyle w:val="TableParagraph"/>
              <w:spacing w:before="10"/>
              <w:ind w:left="0"/>
              <w:rPr>
                <w:color w:val="2F5496" w:themeColor="accent1" w:themeShade="BF"/>
                <w:sz w:val="25"/>
              </w:rPr>
            </w:pPr>
          </w:p>
          <w:p w14:paraId="01F734D8" w14:textId="77777777" w:rsidR="00904BEC" w:rsidRPr="0005726E" w:rsidRDefault="00904BEC" w:rsidP="00904BEC">
            <w:pPr>
              <w:pStyle w:val="TableParagraph"/>
              <w:ind w:left="1118" w:right="1102"/>
              <w:jc w:val="center"/>
              <w:rPr>
                <w:b/>
                <w:color w:val="2F5496" w:themeColor="accent1" w:themeShade="BF"/>
                <w:sz w:val="24"/>
              </w:rPr>
            </w:pPr>
            <w:r w:rsidRPr="0005726E">
              <w:rPr>
                <w:b/>
                <w:color w:val="2F5496" w:themeColor="accent1" w:themeShade="BF"/>
                <w:sz w:val="24"/>
              </w:rPr>
              <w:t>Toileting</w:t>
            </w:r>
          </w:p>
        </w:tc>
        <w:tc>
          <w:tcPr>
            <w:tcW w:w="9661" w:type="dxa"/>
            <w:shd w:val="clear" w:color="auto" w:fill="D9E2F3" w:themeFill="accent1" w:themeFillTint="33"/>
          </w:tcPr>
          <w:p w14:paraId="03B2FAAB" w14:textId="579A8BE3" w:rsidR="00904BEC" w:rsidRPr="004672DA" w:rsidRDefault="0048159D" w:rsidP="00904BEC">
            <w:pPr>
              <w:pStyle w:val="TableParagraph"/>
              <w:spacing w:before="88" w:line="235" w:lineRule="auto"/>
              <w:ind w:left="9" w:hanging="9"/>
              <w:rPr>
                <w:color w:val="2F5496" w:themeColor="accent1" w:themeShade="BF"/>
                <w:sz w:val="20"/>
                <w:szCs w:val="20"/>
              </w:rPr>
            </w:pPr>
            <w:r w:rsidRPr="004672DA">
              <w:rPr>
                <w:color w:val="2F5496" w:themeColor="accent1" w:themeShade="BF"/>
                <w:sz w:val="20"/>
                <w:szCs w:val="20"/>
              </w:rPr>
              <w:t>Repeated events</w:t>
            </w:r>
            <w:r>
              <w:rPr>
                <w:color w:val="2F5496" w:themeColor="accent1" w:themeShade="BF"/>
                <w:sz w:val="20"/>
                <w:szCs w:val="20"/>
              </w:rPr>
              <w:t xml:space="preserve">. 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>Harm</w:t>
            </w:r>
            <w:r>
              <w:rPr>
                <w:color w:val="2F5496" w:themeColor="accent1" w:themeShade="BF"/>
                <w:sz w:val="20"/>
                <w:szCs w:val="20"/>
              </w:rPr>
              <w:t xml:space="preserve"> to 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>dignity or</w:t>
            </w:r>
            <w:r w:rsidRPr="004672DA">
              <w:rPr>
                <w:color w:val="2F5496" w:themeColor="accent1" w:themeShade="BF"/>
                <w:spacing w:val="-1"/>
                <w:sz w:val="20"/>
                <w:szCs w:val="20"/>
              </w:rPr>
              <w:t xml:space="preserve"> 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>independence</w:t>
            </w:r>
          </w:p>
        </w:tc>
      </w:tr>
      <w:tr w:rsidR="00904BEC" w:rsidRPr="0005726E" w14:paraId="4868D55B" w14:textId="77777777" w:rsidTr="005579AA">
        <w:trPr>
          <w:trHeight w:val="870"/>
        </w:trPr>
        <w:tc>
          <w:tcPr>
            <w:tcW w:w="5137" w:type="dxa"/>
            <w:shd w:val="clear" w:color="auto" w:fill="D9E2F3" w:themeFill="accent1" w:themeFillTint="33"/>
          </w:tcPr>
          <w:p w14:paraId="39CD77FD" w14:textId="77777777" w:rsidR="00904BEC" w:rsidRPr="0005726E" w:rsidRDefault="00904BEC" w:rsidP="00904BEC">
            <w:pPr>
              <w:pStyle w:val="TableParagraph"/>
              <w:spacing w:before="10"/>
              <w:ind w:left="0"/>
              <w:rPr>
                <w:color w:val="2F5496" w:themeColor="accent1" w:themeShade="BF"/>
                <w:sz w:val="25"/>
              </w:rPr>
            </w:pPr>
          </w:p>
          <w:p w14:paraId="1A80F26B" w14:textId="77777777" w:rsidR="00904BEC" w:rsidRPr="0005726E" w:rsidRDefault="00904BEC" w:rsidP="00904BEC">
            <w:pPr>
              <w:pStyle w:val="TableParagraph"/>
              <w:ind w:left="1117" w:right="1103"/>
              <w:jc w:val="center"/>
              <w:rPr>
                <w:b/>
                <w:color w:val="2F5496" w:themeColor="accent1" w:themeShade="BF"/>
                <w:sz w:val="24"/>
              </w:rPr>
            </w:pPr>
            <w:r w:rsidRPr="0005726E">
              <w:rPr>
                <w:b/>
                <w:color w:val="2F5496" w:themeColor="accent1" w:themeShade="BF"/>
                <w:sz w:val="24"/>
              </w:rPr>
              <w:t>Nutrition</w:t>
            </w:r>
            <w:r>
              <w:rPr>
                <w:b/>
                <w:color w:val="2F5496" w:themeColor="accent1" w:themeShade="BF"/>
                <w:sz w:val="24"/>
              </w:rPr>
              <w:t xml:space="preserve"> and Hydration </w:t>
            </w:r>
          </w:p>
        </w:tc>
        <w:tc>
          <w:tcPr>
            <w:tcW w:w="9661" w:type="dxa"/>
            <w:shd w:val="clear" w:color="auto" w:fill="D9E2F3" w:themeFill="accent1" w:themeFillTint="33"/>
          </w:tcPr>
          <w:p w14:paraId="5FE0A6B8" w14:textId="242D5838" w:rsidR="00904BEC" w:rsidRPr="0005726E" w:rsidRDefault="0048159D" w:rsidP="00904BEC">
            <w:pPr>
              <w:pStyle w:val="TableParagraph"/>
              <w:spacing w:before="77"/>
              <w:ind w:left="0"/>
              <w:rPr>
                <w:color w:val="2F5496" w:themeColor="accent1" w:themeShade="BF"/>
                <w:sz w:val="20"/>
              </w:rPr>
            </w:pPr>
            <w:r w:rsidRPr="004672DA">
              <w:rPr>
                <w:color w:val="2F5496" w:themeColor="accent1" w:themeShade="BF"/>
                <w:sz w:val="20"/>
                <w:szCs w:val="20"/>
              </w:rPr>
              <w:t>Repeatedly missing meals or</w:t>
            </w:r>
            <w:r w:rsidRPr="004672DA">
              <w:rPr>
                <w:color w:val="2F5496" w:themeColor="accent1" w:themeShade="BF"/>
                <w:spacing w:val="-1"/>
                <w:sz w:val="20"/>
                <w:szCs w:val="20"/>
              </w:rPr>
              <w:t xml:space="preserve"> 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>drinks</w:t>
            </w:r>
            <w:r>
              <w:rPr>
                <w:color w:val="2F5496" w:themeColor="accent1" w:themeShade="BF"/>
                <w:sz w:val="20"/>
                <w:szCs w:val="20"/>
              </w:rPr>
              <w:t>, w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>eight loss or malnutrition which is not responded to with appropriate care</w:t>
            </w:r>
            <w:r w:rsidRPr="004672DA">
              <w:rPr>
                <w:color w:val="2F5496" w:themeColor="accent1" w:themeShade="BF"/>
                <w:spacing w:val="-14"/>
                <w:sz w:val="20"/>
                <w:szCs w:val="20"/>
              </w:rPr>
              <w:t xml:space="preserve"> 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>plan</w:t>
            </w:r>
            <w:r>
              <w:rPr>
                <w:color w:val="2F5496" w:themeColor="accent1" w:themeShade="BF"/>
                <w:sz w:val="20"/>
                <w:szCs w:val="20"/>
              </w:rPr>
              <w:t>.</w:t>
            </w:r>
            <w:r w:rsidR="00AA697D">
              <w:rPr>
                <w:color w:val="2F5496" w:themeColor="accent1" w:themeShade="BF"/>
                <w:sz w:val="20"/>
                <w:szCs w:val="20"/>
              </w:rPr>
              <w:t xml:space="preserve"> </w:t>
            </w:r>
            <w:r w:rsidR="007F5CA7">
              <w:rPr>
                <w:color w:val="2F5496" w:themeColor="accent1" w:themeShade="BF"/>
                <w:sz w:val="20"/>
                <w:szCs w:val="20"/>
              </w:rPr>
              <w:t>Failure to give food or drink or to provide support to eat or drink on m</w:t>
            </w:r>
            <w:r w:rsidR="008F749A">
              <w:rPr>
                <w:color w:val="2F5496" w:themeColor="accent1" w:themeShade="BF"/>
                <w:sz w:val="20"/>
                <w:szCs w:val="20"/>
              </w:rPr>
              <w:t xml:space="preserve">ore </w:t>
            </w:r>
            <w:r w:rsidR="007F5CA7">
              <w:rPr>
                <w:color w:val="2F5496" w:themeColor="accent1" w:themeShade="BF"/>
                <w:sz w:val="20"/>
                <w:szCs w:val="20"/>
              </w:rPr>
              <w:t xml:space="preserve">than one occasion.  Failure to provide nutrition </w:t>
            </w:r>
            <w:r w:rsidR="005D5C4B">
              <w:rPr>
                <w:color w:val="2F5496" w:themeColor="accent1" w:themeShade="BF"/>
                <w:sz w:val="20"/>
                <w:szCs w:val="20"/>
              </w:rPr>
              <w:t>and hydration on more than one occasion</w:t>
            </w:r>
            <w:r w:rsidR="009111A0">
              <w:rPr>
                <w:color w:val="2F5496" w:themeColor="accent1" w:themeShade="BF"/>
                <w:sz w:val="20"/>
                <w:szCs w:val="20"/>
              </w:rPr>
              <w:t xml:space="preserve">.  </w:t>
            </w:r>
            <w:r w:rsidR="00CD6EF4">
              <w:rPr>
                <w:color w:val="2F5496" w:themeColor="accent1" w:themeShade="BF"/>
                <w:sz w:val="20"/>
                <w:szCs w:val="20"/>
              </w:rPr>
              <w:t>Lack of evidence in monitoring or action taken in relation to weight loss</w:t>
            </w:r>
          </w:p>
        </w:tc>
      </w:tr>
      <w:tr w:rsidR="00904BEC" w:rsidRPr="0005726E" w14:paraId="3DD6C19A" w14:textId="77777777" w:rsidTr="005579AA">
        <w:trPr>
          <w:trHeight w:val="906"/>
        </w:trPr>
        <w:tc>
          <w:tcPr>
            <w:tcW w:w="5137" w:type="dxa"/>
            <w:shd w:val="clear" w:color="auto" w:fill="D9E2F3" w:themeFill="accent1" w:themeFillTint="33"/>
          </w:tcPr>
          <w:p w14:paraId="78CDEF34" w14:textId="77777777" w:rsidR="00904BEC" w:rsidRPr="0005726E" w:rsidRDefault="00904BEC" w:rsidP="00904BEC">
            <w:pPr>
              <w:pStyle w:val="TableParagraph"/>
              <w:spacing w:before="6"/>
              <w:ind w:left="0"/>
              <w:rPr>
                <w:color w:val="2F5496" w:themeColor="accent1" w:themeShade="BF"/>
                <w:sz w:val="27"/>
              </w:rPr>
            </w:pPr>
          </w:p>
          <w:p w14:paraId="0F5E945B" w14:textId="77777777" w:rsidR="00904BEC" w:rsidRPr="0005726E" w:rsidRDefault="00904BEC" w:rsidP="00904BEC">
            <w:pPr>
              <w:pStyle w:val="TableParagraph"/>
              <w:ind w:left="1118" w:right="1099"/>
              <w:jc w:val="center"/>
              <w:rPr>
                <w:b/>
                <w:color w:val="2F5496" w:themeColor="accent1" w:themeShade="BF"/>
                <w:sz w:val="24"/>
              </w:rPr>
            </w:pPr>
            <w:r w:rsidRPr="0005726E">
              <w:rPr>
                <w:b/>
                <w:color w:val="2F5496" w:themeColor="accent1" w:themeShade="BF"/>
                <w:sz w:val="24"/>
              </w:rPr>
              <w:t>Pressure Areas</w:t>
            </w:r>
          </w:p>
        </w:tc>
        <w:tc>
          <w:tcPr>
            <w:tcW w:w="9661" w:type="dxa"/>
            <w:shd w:val="clear" w:color="auto" w:fill="D9E2F3" w:themeFill="accent1" w:themeFillTint="33"/>
          </w:tcPr>
          <w:p w14:paraId="2DFF7FCE" w14:textId="20053D07" w:rsidR="00904BEC" w:rsidRPr="0005726E" w:rsidRDefault="0048159D" w:rsidP="00904BEC">
            <w:pPr>
              <w:pStyle w:val="TableParagraph"/>
              <w:spacing w:line="235" w:lineRule="auto"/>
              <w:ind w:left="0" w:right="589"/>
              <w:rPr>
                <w:color w:val="2F5496" w:themeColor="accent1" w:themeShade="BF"/>
                <w:sz w:val="20"/>
              </w:rPr>
            </w:pPr>
            <w:r w:rsidRPr="004672DA">
              <w:rPr>
                <w:color w:val="2F5496" w:themeColor="accent1" w:themeShade="BF"/>
                <w:sz w:val="20"/>
                <w:szCs w:val="20"/>
              </w:rPr>
              <w:t>No risk assessment made for a person who</w:t>
            </w:r>
            <w:r w:rsidRPr="004672DA">
              <w:rPr>
                <w:color w:val="2F5496" w:themeColor="accent1" w:themeShade="BF"/>
                <w:spacing w:val="-13"/>
                <w:sz w:val="20"/>
                <w:szCs w:val="20"/>
              </w:rPr>
              <w:t xml:space="preserve"> 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>is at risk of developing</w:t>
            </w:r>
            <w:r w:rsidRPr="004672DA">
              <w:rPr>
                <w:color w:val="2F5496" w:themeColor="accent1" w:themeShade="BF"/>
                <w:spacing w:val="-4"/>
                <w:sz w:val="20"/>
                <w:szCs w:val="20"/>
              </w:rPr>
              <w:t xml:space="preserve"> 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>sores</w:t>
            </w:r>
            <w:r>
              <w:rPr>
                <w:color w:val="2F5496" w:themeColor="accent1" w:themeShade="BF"/>
                <w:sz w:val="20"/>
                <w:szCs w:val="20"/>
              </w:rPr>
              <w:t xml:space="preserve">. 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>Sores developed as a result of inadequate</w:t>
            </w:r>
            <w:r w:rsidRPr="004672DA">
              <w:rPr>
                <w:color w:val="2F5496" w:themeColor="accent1" w:themeShade="BF"/>
                <w:spacing w:val="-14"/>
                <w:sz w:val="20"/>
                <w:szCs w:val="20"/>
              </w:rPr>
              <w:t xml:space="preserve"> 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>care</w:t>
            </w:r>
            <w:r w:rsidR="00295BAA">
              <w:rPr>
                <w:color w:val="2F5496" w:themeColor="accent1" w:themeShade="BF"/>
                <w:sz w:val="20"/>
                <w:szCs w:val="20"/>
              </w:rPr>
              <w:t xml:space="preserve">.  Grade 3 and above.  </w:t>
            </w:r>
            <w:r w:rsidR="00A37CC2">
              <w:rPr>
                <w:color w:val="2F5496" w:themeColor="accent1" w:themeShade="BF"/>
                <w:sz w:val="20"/>
                <w:szCs w:val="20"/>
              </w:rPr>
              <w:t>Care Plan no</w:t>
            </w:r>
            <w:r w:rsidR="008F749A">
              <w:rPr>
                <w:color w:val="2F5496" w:themeColor="accent1" w:themeShade="BF"/>
                <w:sz w:val="20"/>
                <w:szCs w:val="20"/>
              </w:rPr>
              <w:t>t i</w:t>
            </w:r>
            <w:r w:rsidR="00A37CC2">
              <w:rPr>
                <w:color w:val="2F5496" w:themeColor="accent1" w:themeShade="BF"/>
                <w:sz w:val="20"/>
                <w:szCs w:val="20"/>
              </w:rPr>
              <w:t>n place or not adhered to, not cle</w:t>
            </w:r>
            <w:r w:rsidR="00BC1365">
              <w:rPr>
                <w:color w:val="2F5496" w:themeColor="accent1" w:themeShade="BF"/>
                <w:sz w:val="20"/>
                <w:szCs w:val="20"/>
              </w:rPr>
              <w:t>ar or up-to-date.  Appropriate equipment not provided in</w:t>
            </w:r>
            <w:r w:rsidR="00F82AEB">
              <w:rPr>
                <w:color w:val="2F5496" w:themeColor="accent1" w:themeShade="BF"/>
                <w:sz w:val="20"/>
                <w:szCs w:val="20"/>
              </w:rPr>
              <w:t xml:space="preserve"> a timely manner. Staff not trained to use equipment / manual handling.  </w:t>
            </w:r>
            <w:r w:rsidR="004F6FFC">
              <w:rPr>
                <w:color w:val="2F5496" w:themeColor="accent1" w:themeShade="BF"/>
                <w:sz w:val="20"/>
                <w:szCs w:val="20"/>
              </w:rPr>
              <w:t xml:space="preserve">Repositioning Charts not completed.  Specialist advice not sought.   </w:t>
            </w:r>
          </w:p>
        </w:tc>
      </w:tr>
      <w:tr w:rsidR="0048159D" w:rsidRPr="0005726E" w14:paraId="2671D69E" w14:textId="77777777" w:rsidTr="005579AA">
        <w:trPr>
          <w:trHeight w:val="872"/>
        </w:trPr>
        <w:tc>
          <w:tcPr>
            <w:tcW w:w="5137" w:type="dxa"/>
            <w:shd w:val="clear" w:color="auto" w:fill="D9E2F3" w:themeFill="accent1" w:themeFillTint="33"/>
          </w:tcPr>
          <w:p w14:paraId="72CDFA86" w14:textId="77777777" w:rsidR="0048159D" w:rsidRPr="0005726E" w:rsidRDefault="0048159D" w:rsidP="0048159D">
            <w:pPr>
              <w:pStyle w:val="TableParagraph"/>
              <w:spacing w:before="1"/>
              <w:ind w:left="0"/>
              <w:rPr>
                <w:color w:val="2F5496" w:themeColor="accent1" w:themeShade="BF"/>
                <w:sz w:val="26"/>
              </w:rPr>
            </w:pPr>
          </w:p>
          <w:p w14:paraId="6310CEC1" w14:textId="77777777" w:rsidR="0048159D" w:rsidRPr="0005726E" w:rsidRDefault="0048159D" w:rsidP="0048159D">
            <w:pPr>
              <w:pStyle w:val="TableParagraph"/>
              <w:ind w:left="1118" w:right="1103"/>
              <w:jc w:val="center"/>
              <w:rPr>
                <w:b/>
                <w:color w:val="2F5496" w:themeColor="accent1" w:themeShade="BF"/>
                <w:sz w:val="24"/>
              </w:rPr>
            </w:pPr>
            <w:r w:rsidRPr="0005726E">
              <w:rPr>
                <w:b/>
                <w:color w:val="2F5496" w:themeColor="accent1" w:themeShade="BF"/>
                <w:sz w:val="24"/>
              </w:rPr>
              <w:t>Missed Home Care Visits</w:t>
            </w:r>
          </w:p>
        </w:tc>
        <w:tc>
          <w:tcPr>
            <w:tcW w:w="9661" w:type="dxa"/>
            <w:shd w:val="clear" w:color="auto" w:fill="D9E2F3" w:themeFill="accent1" w:themeFillTint="33"/>
          </w:tcPr>
          <w:p w14:paraId="109E5D66" w14:textId="36FC59F0" w:rsidR="0048159D" w:rsidRPr="0005726E" w:rsidRDefault="0048159D" w:rsidP="0048159D">
            <w:pPr>
              <w:pStyle w:val="TableParagraph"/>
              <w:spacing w:line="235" w:lineRule="auto"/>
              <w:ind w:left="0" w:right="970"/>
              <w:rPr>
                <w:color w:val="2F5496" w:themeColor="accent1" w:themeShade="BF"/>
                <w:sz w:val="20"/>
              </w:rPr>
            </w:pPr>
            <w:r w:rsidRPr="004672DA">
              <w:rPr>
                <w:color w:val="2F5496" w:themeColor="accent1" w:themeShade="BF"/>
                <w:sz w:val="20"/>
                <w:szCs w:val="20"/>
              </w:rPr>
              <w:t>Multiple episodes of missed</w:t>
            </w:r>
            <w:r w:rsidRPr="004672DA">
              <w:rPr>
                <w:color w:val="2F5496" w:themeColor="accent1" w:themeShade="BF"/>
                <w:spacing w:val="-3"/>
                <w:sz w:val="20"/>
                <w:szCs w:val="20"/>
              </w:rPr>
              <w:t xml:space="preserve"> 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>visits</w:t>
            </w:r>
            <w:r>
              <w:rPr>
                <w:color w:val="2F5496" w:themeColor="accent1" w:themeShade="BF"/>
                <w:sz w:val="20"/>
                <w:szCs w:val="20"/>
              </w:rPr>
              <w:t xml:space="preserve">. 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>Missed visit caused the person to come</w:t>
            </w:r>
            <w:r w:rsidRPr="004672DA">
              <w:rPr>
                <w:color w:val="2F5496" w:themeColor="accent1" w:themeShade="BF"/>
                <w:spacing w:val="-12"/>
                <w:sz w:val="20"/>
                <w:szCs w:val="20"/>
              </w:rPr>
              <w:t xml:space="preserve"> 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>to significant</w:t>
            </w:r>
            <w:r w:rsidRPr="004672DA">
              <w:rPr>
                <w:color w:val="2F5496" w:themeColor="accent1" w:themeShade="BF"/>
                <w:spacing w:val="-2"/>
                <w:sz w:val="20"/>
                <w:szCs w:val="20"/>
              </w:rPr>
              <w:t xml:space="preserve"> 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>harm</w:t>
            </w:r>
          </w:p>
        </w:tc>
      </w:tr>
      <w:tr w:rsidR="0048159D" w:rsidRPr="0005726E" w14:paraId="65F2FABB" w14:textId="77777777" w:rsidTr="005579AA">
        <w:trPr>
          <w:trHeight w:val="947"/>
        </w:trPr>
        <w:tc>
          <w:tcPr>
            <w:tcW w:w="5137" w:type="dxa"/>
            <w:shd w:val="clear" w:color="auto" w:fill="D9E2F3" w:themeFill="accent1" w:themeFillTint="33"/>
          </w:tcPr>
          <w:p w14:paraId="78432697" w14:textId="77777777" w:rsidR="0048159D" w:rsidRPr="0005726E" w:rsidRDefault="0048159D" w:rsidP="0048159D">
            <w:pPr>
              <w:pStyle w:val="TableParagraph"/>
              <w:spacing w:before="3"/>
              <w:ind w:left="0"/>
              <w:rPr>
                <w:color w:val="2F5496" w:themeColor="accent1" w:themeShade="BF"/>
                <w:sz w:val="29"/>
              </w:rPr>
            </w:pPr>
          </w:p>
          <w:p w14:paraId="432C5BBA" w14:textId="77777777" w:rsidR="0048159D" w:rsidRPr="0005726E" w:rsidRDefault="0048159D" w:rsidP="0048159D">
            <w:pPr>
              <w:pStyle w:val="TableParagraph"/>
              <w:ind w:left="1118" w:right="1101"/>
              <w:jc w:val="center"/>
              <w:rPr>
                <w:b/>
                <w:color w:val="2F5496" w:themeColor="accent1" w:themeShade="BF"/>
                <w:sz w:val="24"/>
              </w:rPr>
            </w:pPr>
            <w:r w:rsidRPr="0005726E">
              <w:rPr>
                <w:b/>
                <w:color w:val="2F5496" w:themeColor="accent1" w:themeShade="BF"/>
                <w:sz w:val="24"/>
              </w:rPr>
              <w:t>Medication Error</w:t>
            </w:r>
          </w:p>
        </w:tc>
        <w:tc>
          <w:tcPr>
            <w:tcW w:w="9661" w:type="dxa"/>
            <w:shd w:val="clear" w:color="auto" w:fill="D9E2F3" w:themeFill="accent1" w:themeFillTint="33"/>
          </w:tcPr>
          <w:p w14:paraId="17C7C591" w14:textId="7FA43050" w:rsidR="0048159D" w:rsidRPr="0005726E" w:rsidRDefault="0048159D" w:rsidP="0048159D">
            <w:pPr>
              <w:pStyle w:val="TableParagraph"/>
              <w:spacing w:before="120" w:line="235" w:lineRule="auto"/>
              <w:ind w:left="0" w:right="278"/>
              <w:rPr>
                <w:color w:val="2F5496" w:themeColor="accent1" w:themeShade="BF"/>
                <w:sz w:val="20"/>
              </w:rPr>
            </w:pPr>
            <w:r w:rsidRPr="004672DA">
              <w:rPr>
                <w:color w:val="2F5496" w:themeColor="accent1" w:themeShade="BF"/>
                <w:sz w:val="20"/>
                <w:szCs w:val="20"/>
              </w:rPr>
              <w:t xml:space="preserve">Repeated episodes of medications missed </w:t>
            </w:r>
            <w:r w:rsidRPr="004672DA">
              <w:rPr>
                <w:color w:val="2F5496" w:themeColor="accent1" w:themeShade="BF"/>
                <w:spacing w:val="-6"/>
                <w:sz w:val="20"/>
                <w:szCs w:val="20"/>
              </w:rPr>
              <w:t xml:space="preserve">or 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>given inappropriately</w:t>
            </w:r>
            <w:r>
              <w:rPr>
                <w:color w:val="2F5496" w:themeColor="accent1" w:themeShade="BF"/>
                <w:sz w:val="20"/>
                <w:szCs w:val="20"/>
              </w:rPr>
              <w:t xml:space="preserve">. 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 xml:space="preserve">The person has come to harm, or </w:t>
            </w:r>
            <w:r>
              <w:rPr>
                <w:color w:val="2F5496" w:themeColor="accent1" w:themeShade="BF"/>
                <w:sz w:val="20"/>
                <w:szCs w:val="20"/>
              </w:rPr>
              <w:t>potentially come to harm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>, as a</w:t>
            </w:r>
            <w:r w:rsidRPr="004672DA">
              <w:rPr>
                <w:color w:val="2F5496" w:themeColor="accent1" w:themeShade="BF"/>
                <w:spacing w:val="-2"/>
                <w:sz w:val="20"/>
                <w:szCs w:val="20"/>
              </w:rPr>
              <w:t xml:space="preserve"> </w:t>
            </w:r>
            <w:r w:rsidRPr="004672DA">
              <w:rPr>
                <w:color w:val="2F5496" w:themeColor="accent1" w:themeShade="BF"/>
                <w:sz w:val="20"/>
                <w:szCs w:val="20"/>
              </w:rPr>
              <w:t>result</w:t>
            </w:r>
            <w:r>
              <w:rPr>
                <w:color w:val="2F5496" w:themeColor="accent1" w:themeShade="BF"/>
                <w:sz w:val="20"/>
                <w:szCs w:val="20"/>
              </w:rPr>
              <w:t>.</w:t>
            </w:r>
            <w:r w:rsidR="000C043F">
              <w:rPr>
                <w:color w:val="2F5496" w:themeColor="accent1" w:themeShade="BF"/>
                <w:sz w:val="20"/>
                <w:szCs w:val="20"/>
              </w:rPr>
              <w:t xml:space="preserve"> May be deliberate withholding of medication </w:t>
            </w:r>
            <w:r w:rsidR="008A68BB">
              <w:rPr>
                <w:color w:val="2F5496" w:themeColor="accent1" w:themeShade="BF"/>
                <w:sz w:val="20"/>
                <w:szCs w:val="20"/>
              </w:rPr>
              <w:t xml:space="preserve">with no medical reason.  Missed medication </w:t>
            </w:r>
            <w:r w:rsidR="00FA20D9">
              <w:rPr>
                <w:color w:val="2F5496" w:themeColor="accent1" w:themeShade="BF"/>
                <w:sz w:val="20"/>
                <w:szCs w:val="20"/>
              </w:rPr>
              <w:t xml:space="preserve">deliberately </w:t>
            </w:r>
            <w:r w:rsidR="005443B7">
              <w:rPr>
                <w:color w:val="2F5496" w:themeColor="accent1" w:themeShade="BF"/>
                <w:sz w:val="20"/>
                <w:szCs w:val="20"/>
              </w:rPr>
              <w:t xml:space="preserve">or recklessly.  Incorrect use of medication </w:t>
            </w:r>
            <w:r w:rsidR="003840B9">
              <w:rPr>
                <w:color w:val="2F5496" w:themeColor="accent1" w:themeShade="BF"/>
                <w:sz w:val="20"/>
                <w:szCs w:val="20"/>
              </w:rPr>
              <w:t>for reasons other than for the benefit of the person.</w:t>
            </w:r>
          </w:p>
        </w:tc>
      </w:tr>
      <w:tr w:rsidR="00C247BA" w:rsidRPr="0005726E" w14:paraId="512E6AEE" w14:textId="77777777" w:rsidTr="005579AA">
        <w:trPr>
          <w:trHeight w:val="947"/>
        </w:trPr>
        <w:tc>
          <w:tcPr>
            <w:tcW w:w="5137" w:type="dxa"/>
            <w:shd w:val="clear" w:color="auto" w:fill="D9E2F3" w:themeFill="accent1" w:themeFillTint="33"/>
          </w:tcPr>
          <w:p w14:paraId="55D286E7" w14:textId="497909E4" w:rsidR="00C247BA" w:rsidRPr="0074701C" w:rsidRDefault="0074701C" w:rsidP="00C247BA">
            <w:pPr>
              <w:pStyle w:val="TableParagraph"/>
              <w:spacing w:before="3"/>
              <w:ind w:left="0"/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 w:rsidRPr="0074701C">
              <w:rPr>
                <w:b/>
                <w:color w:val="2F5496" w:themeColor="accent1" w:themeShade="BF"/>
                <w:sz w:val="24"/>
                <w:szCs w:val="24"/>
              </w:rPr>
              <w:t xml:space="preserve">Acts of </w:t>
            </w:r>
            <w:r w:rsidR="005951FC">
              <w:rPr>
                <w:b/>
                <w:color w:val="2F5496" w:themeColor="accent1" w:themeShade="BF"/>
                <w:sz w:val="24"/>
                <w:szCs w:val="24"/>
              </w:rPr>
              <w:t xml:space="preserve">wilful neglect, abuse, ill treatment or acts of omission </w:t>
            </w:r>
          </w:p>
        </w:tc>
        <w:tc>
          <w:tcPr>
            <w:tcW w:w="9661" w:type="dxa"/>
            <w:shd w:val="clear" w:color="auto" w:fill="D9E2F3" w:themeFill="accent1" w:themeFillTint="33"/>
          </w:tcPr>
          <w:p w14:paraId="088E2BAE" w14:textId="5ECFC7BB" w:rsidR="00C247BA" w:rsidRPr="004672DA" w:rsidRDefault="00046F5D" w:rsidP="0048159D">
            <w:pPr>
              <w:pStyle w:val="TableParagraph"/>
              <w:spacing w:before="120" w:line="235" w:lineRule="auto"/>
              <w:ind w:left="0" w:right="278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>May include ignoring medical, emotional or physical care needs</w:t>
            </w:r>
            <w:r w:rsidR="005F4F03">
              <w:rPr>
                <w:color w:val="2F5496" w:themeColor="accent1" w:themeShade="BF"/>
                <w:sz w:val="20"/>
                <w:szCs w:val="20"/>
              </w:rPr>
              <w:t xml:space="preserve">. </w:t>
            </w:r>
            <w:r>
              <w:rPr>
                <w:color w:val="2F5496" w:themeColor="accent1" w:themeShade="BF"/>
                <w:sz w:val="20"/>
                <w:szCs w:val="20"/>
              </w:rPr>
              <w:t xml:space="preserve"> Failure to provide </w:t>
            </w:r>
            <w:r w:rsidR="005F4F03">
              <w:rPr>
                <w:color w:val="2F5496" w:themeColor="accent1" w:themeShade="BF"/>
                <w:sz w:val="20"/>
                <w:szCs w:val="20"/>
              </w:rPr>
              <w:t>access to appropriate health care and support or educational services.  With</w:t>
            </w:r>
            <w:r w:rsidR="00472627">
              <w:rPr>
                <w:color w:val="2F5496" w:themeColor="accent1" w:themeShade="BF"/>
                <w:sz w:val="20"/>
                <w:szCs w:val="20"/>
              </w:rPr>
              <w:t>h</w:t>
            </w:r>
            <w:r w:rsidR="005F4F03">
              <w:rPr>
                <w:color w:val="2F5496" w:themeColor="accent1" w:themeShade="BF"/>
                <w:sz w:val="20"/>
                <w:szCs w:val="20"/>
              </w:rPr>
              <w:t>olding the necessities of life</w:t>
            </w:r>
            <w:r w:rsidR="00472627">
              <w:rPr>
                <w:color w:val="2F5496" w:themeColor="accent1" w:themeShade="BF"/>
                <w:sz w:val="20"/>
                <w:szCs w:val="20"/>
              </w:rPr>
              <w:t xml:space="preserve">, such as medication, adequate nutrition, heating </w:t>
            </w:r>
            <w:r w:rsidR="002350DF">
              <w:rPr>
                <w:color w:val="2F5496" w:themeColor="accent1" w:themeShade="BF"/>
                <w:sz w:val="20"/>
                <w:szCs w:val="20"/>
              </w:rPr>
              <w:t>and essential equipment</w:t>
            </w:r>
          </w:p>
        </w:tc>
      </w:tr>
      <w:tr w:rsidR="002350DF" w:rsidRPr="0005726E" w14:paraId="2C8B77E7" w14:textId="77777777" w:rsidTr="005579AA">
        <w:trPr>
          <w:trHeight w:val="947"/>
        </w:trPr>
        <w:tc>
          <w:tcPr>
            <w:tcW w:w="5137" w:type="dxa"/>
            <w:shd w:val="clear" w:color="auto" w:fill="D9E2F3" w:themeFill="accent1" w:themeFillTint="33"/>
          </w:tcPr>
          <w:p w14:paraId="6C8054E8" w14:textId="1BD184D5" w:rsidR="002350DF" w:rsidRPr="0074701C" w:rsidRDefault="00C21196" w:rsidP="00C247BA">
            <w:pPr>
              <w:pStyle w:val="TableParagraph"/>
              <w:spacing w:before="3"/>
              <w:ind w:left="0"/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color w:val="2F5496" w:themeColor="accent1" w:themeShade="BF"/>
                <w:sz w:val="24"/>
                <w:szCs w:val="24"/>
              </w:rPr>
              <w:t xml:space="preserve">Discriminatory Abuse </w:t>
            </w:r>
          </w:p>
        </w:tc>
        <w:tc>
          <w:tcPr>
            <w:tcW w:w="9661" w:type="dxa"/>
            <w:shd w:val="clear" w:color="auto" w:fill="D9E2F3" w:themeFill="accent1" w:themeFillTint="33"/>
          </w:tcPr>
          <w:p w14:paraId="1246432B" w14:textId="1026A819" w:rsidR="002350DF" w:rsidRDefault="00C21196" w:rsidP="0048159D">
            <w:pPr>
              <w:pStyle w:val="TableParagraph"/>
              <w:spacing w:before="120" w:line="235" w:lineRule="auto"/>
              <w:ind w:left="0" w:right="278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 xml:space="preserve">May include </w:t>
            </w:r>
            <w:r w:rsidR="005A5DC6">
              <w:rPr>
                <w:color w:val="2F5496" w:themeColor="accent1" w:themeShade="BF"/>
                <w:sz w:val="20"/>
                <w:szCs w:val="20"/>
              </w:rPr>
              <w:t xml:space="preserve">harassment, slurs or similar treatment because </w:t>
            </w:r>
            <w:r w:rsidR="007E6C81">
              <w:rPr>
                <w:color w:val="2F5496" w:themeColor="accent1" w:themeShade="BF"/>
                <w:sz w:val="20"/>
                <w:szCs w:val="20"/>
              </w:rPr>
              <w:t>of race, gender and gender identify</w:t>
            </w:r>
            <w:r w:rsidR="0088184A">
              <w:rPr>
                <w:color w:val="2F5496" w:themeColor="accent1" w:themeShade="BF"/>
                <w:sz w:val="20"/>
                <w:szCs w:val="20"/>
              </w:rPr>
              <w:t xml:space="preserve">, age, disability, </w:t>
            </w:r>
            <w:r w:rsidR="00193C34">
              <w:rPr>
                <w:color w:val="2F5496" w:themeColor="accent1" w:themeShade="BF"/>
                <w:sz w:val="20"/>
                <w:szCs w:val="20"/>
              </w:rPr>
              <w:t>sexual orientation and religion.</w:t>
            </w:r>
          </w:p>
        </w:tc>
      </w:tr>
      <w:tr w:rsidR="00193C34" w:rsidRPr="0005726E" w14:paraId="0E3F24AF" w14:textId="77777777" w:rsidTr="005579AA">
        <w:trPr>
          <w:trHeight w:val="947"/>
        </w:trPr>
        <w:tc>
          <w:tcPr>
            <w:tcW w:w="5137" w:type="dxa"/>
            <w:shd w:val="clear" w:color="auto" w:fill="D9E2F3" w:themeFill="accent1" w:themeFillTint="33"/>
          </w:tcPr>
          <w:p w14:paraId="6A14927D" w14:textId="0E9F8DA3" w:rsidR="00193C34" w:rsidRDefault="00193C34" w:rsidP="00C247BA">
            <w:pPr>
              <w:pStyle w:val="TableParagraph"/>
              <w:spacing w:before="3"/>
              <w:ind w:left="0"/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color w:val="2F5496" w:themeColor="accent1" w:themeShade="BF"/>
                <w:sz w:val="24"/>
                <w:szCs w:val="24"/>
              </w:rPr>
              <w:t xml:space="preserve">Domestic Abuse </w:t>
            </w:r>
          </w:p>
        </w:tc>
        <w:tc>
          <w:tcPr>
            <w:tcW w:w="9661" w:type="dxa"/>
            <w:shd w:val="clear" w:color="auto" w:fill="D9E2F3" w:themeFill="accent1" w:themeFillTint="33"/>
          </w:tcPr>
          <w:p w14:paraId="3244A372" w14:textId="1FBCBE01" w:rsidR="00193C34" w:rsidRDefault="00193C34" w:rsidP="0048159D">
            <w:pPr>
              <w:pStyle w:val="TableParagraph"/>
              <w:spacing w:before="120" w:line="235" w:lineRule="auto"/>
              <w:ind w:left="0" w:right="278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>Indi</w:t>
            </w:r>
            <w:r w:rsidR="00516949">
              <w:rPr>
                <w:color w:val="2F5496" w:themeColor="accent1" w:themeShade="BF"/>
                <w:sz w:val="20"/>
                <w:szCs w:val="20"/>
              </w:rPr>
              <w:t xml:space="preserve">cation of care and support needs.  May include </w:t>
            </w:r>
            <w:r w:rsidR="002E7FCD">
              <w:rPr>
                <w:color w:val="2F5496" w:themeColor="accent1" w:themeShade="BF"/>
                <w:sz w:val="20"/>
                <w:szCs w:val="20"/>
              </w:rPr>
              <w:t>psychological, physical, sexual, financial</w:t>
            </w:r>
            <w:r w:rsidR="006D3502">
              <w:rPr>
                <w:color w:val="2F5496" w:themeColor="accent1" w:themeShade="BF"/>
                <w:sz w:val="20"/>
                <w:szCs w:val="20"/>
              </w:rPr>
              <w:t>, emotional and honour</w:t>
            </w:r>
            <w:r w:rsidR="008C7B8E">
              <w:rPr>
                <w:color w:val="2F5496" w:themeColor="accent1" w:themeShade="BF"/>
                <w:sz w:val="20"/>
                <w:szCs w:val="20"/>
              </w:rPr>
              <w:t>-</w:t>
            </w:r>
            <w:r w:rsidR="006D3502">
              <w:rPr>
                <w:color w:val="2F5496" w:themeColor="accent1" w:themeShade="BF"/>
                <w:sz w:val="20"/>
                <w:szCs w:val="20"/>
              </w:rPr>
              <w:t>based violence.</w:t>
            </w:r>
          </w:p>
        </w:tc>
      </w:tr>
      <w:tr w:rsidR="008C7B8E" w:rsidRPr="0005726E" w14:paraId="1F773978" w14:textId="77777777" w:rsidTr="005579AA">
        <w:trPr>
          <w:trHeight w:val="947"/>
        </w:trPr>
        <w:tc>
          <w:tcPr>
            <w:tcW w:w="5137" w:type="dxa"/>
            <w:shd w:val="clear" w:color="auto" w:fill="D9E2F3" w:themeFill="accent1" w:themeFillTint="33"/>
          </w:tcPr>
          <w:p w14:paraId="49B6D59C" w14:textId="425E99F7" w:rsidR="008C7B8E" w:rsidRDefault="00BA44FC" w:rsidP="00C247BA">
            <w:pPr>
              <w:pStyle w:val="TableParagraph"/>
              <w:spacing w:before="3"/>
              <w:ind w:left="0"/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color w:val="2F5496" w:themeColor="accent1" w:themeShade="BF"/>
                <w:sz w:val="24"/>
                <w:szCs w:val="24"/>
              </w:rPr>
              <w:t xml:space="preserve">Financial Abuse or Financial Exploitation </w:t>
            </w:r>
          </w:p>
        </w:tc>
        <w:tc>
          <w:tcPr>
            <w:tcW w:w="9661" w:type="dxa"/>
            <w:shd w:val="clear" w:color="auto" w:fill="D9E2F3" w:themeFill="accent1" w:themeFillTint="33"/>
          </w:tcPr>
          <w:p w14:paraId="062DA09C" w14:textId="2531357E" w:rsidR="008C7B8E" w:rsidRDefault="005222C7" w:rsidP="0048159D">
            <w:pPr>
              <w:pStyle w:val="TableParagraph"/>
              <w:spacing w:before="120" w:line="235" w:lineRule="auto"/>
              <w:ind w:left="0" w:right="278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>May include</w:t>
            </w:r>
            <w:r w:rsidR="00F731E1">
              <w:rPr>
                <w:color w:val="2F5496" w:themeColor="accent1" w:themeShade="BF"/>
                <w:sz w:val="20"/>
                <w:szCs w:val="20"/>
              </w:rPr>
              <w:t xml:space="preserve"> theft, fraud</w:t>
            </w:r>
            <w:r w:rsidR="001C3041">
              <w:rPr>
                <w:color w:val="2F5496" w:themeColor="accent1" w:themeShade="BF"/>
                <w:sz w:val="20"/>
                <w:szCs w:val="20"/>
              </w:rPr>
              <w:t xml:space="preserve">, coercion in relation to an adult’s financial affairs </w:t>
            </w:r>
            <w:r w:rsidR="009550B2">
              <w:rPr>
                <w:color w:val="2F5496" w:themeColor="accent1" w:themeShade="BF"/>
                <w:sz w:val="20"/>
                <w:szCs w:val="20"/>
              </w:rPr>
              <w:t xml:space="preserve">or arrangements, including in connection </w:t>
            </w:r>
            <w:r w:rsidR="006178AE">
              <w:rPr>
                <w:color w:val="2F5496" w:themeColor="accent1" w:themeShade="BF"/>
                <w:sz w:val="20"/>
                <w:szCs w:val="20"/>
              </w:rPr>
              <w:t>with</w:t>
            </w:r>
            <w:r w:rsidR="009550B2">
              <w:rPr>
                <w:color w:val="2F5496" w:themeColor="accent1" w:themeShade="BF"/>
                <w:sz w:val="20"/>
                <w:szCs w:val="20"/>
              </w:rPr>
              <w:t xml:space="preserve"> wills</w:t>
            </w:r>
            <w:r w:rsidR="006178AE">
              <w:rPr>
                <w:color w:val="2F5496" w:themeColor="accent1" w:themeShade="BF"/>
                <w:sz w:val="20"/>
                <w:szCs w:val="20"/>
              </w:rPr>
              <w:t>, property, inheritance or financial transactions</w:t>
            </w:r>
            <w:r w:rsidR="00D32A16">
              <w:rPr>
                <w:color w:val="2F5496" w:themeColor="accent1" w:themeShade="BF"/>
                <w:sz w:val="20"/>
                <w:szCs w:val="20"/>
              </w:rPr>
              <w:t xml:space="preserve">.  Misuse or misappropriation of property, possessions </w:t>
            </w:r>
            <w:r w:rsidR="00FD6F68">
              <w:rPr>
                <w:color w:val="2F5496" w:themeColor="accent1" w:themeShade="BF"/>
                <w:sz w:val="20"/>
                <w:szCs w:val="20"/>
              </w:rPr>
              <w:t xml:space="preserve">or benefits.  Misappropriation of direct payments </w:t>
            </w:r>
          </w:p>
        </w:tc>
      </w:tr>
      <w:tr w:rsidR="00A07FE0" w:rsidRPr="0005726E" w14:paraId="5CDB59C8" w14:textId="77777777" w:rsidTr="005579AA">
        <w:trPr>
          <w:trHeight w:val="947"/>
        </w:trPr>
        <w:tc>
          <w:tcPr>
            <w:tcW w:w="5137" w:type="dxa"/>
            <w:shd w:val="clear" w:color="auto" w:fill="D9E2F3" w:themeFill="accent1" w:themeFillTint="33"/>
          </w:tcPr>
          <w:p w14:paraId="0956D256" w14:textId="239C45A1" w:rsidR="00A07FE0" w:rsidRDefault="009A6F0C" w:rsidP="00C247BA">
            <w:pPr>
              <w:pStyle w:val="TableParagraph"/>
              <w:spacing w:before="3"/>
              <w:ind w:left="0"/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color w:val="2F5496" w:themeColor="accent1" w:themeShade="BF"/>
                <w:sz w:val="24"/>
                <w:szCs w:val="24"/>
              </w:rPr>
              <w:lastRenderedPageBreak/>
              <w:t xml:space="preserve">Modern Slavery </w:t>
            </w:r>
          </w:p>
        </w:tc>
        <w:tc>
          <w:tcPr>
            <w:tcW w:w="9661" w:type="dxa"/>
            <w:shd w:val="clear" w:color="auto" w:fill="D9E2F3" w:themeFill="accent1" w:themeFillTint="33"/>
          </w:tcPr>
          <w:p w14:paraId="62CFE6EF" w14:textId="69CC2BC0" w:rsidR="00A07FE0" w:rsidRDefault="005953D3" w:rsidP="0048159D">
            <w:pPr>
              <w:pStyle w:val="TableParagraph"/>
              <w:spacing w:before="120" w:line="235" w:lineRule="auto"/>
              <w:ind w:left="0" w:right="278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 xml:space="preserve">May include human trafficking, forced </w:t>
            </w:r>
            <w:r w:rsidR="00A06949">
              <w:rPr>
                <w:color w:val="2F5496" w:themeColor="accent1" w:themeShade="BF"/>
                <w:sz w:val="20"/>
                <w:szCs w:val="20"/>
              </w:rPr>
              <w:t>labour and domestic servitude</w:t>
            </w:r>
          </w:p>
        </w:tc>
      </w:tr>
      <w:tr w:rsidR="000F5C9E" w:rsidRPr="0005726E" w14:paraId="7DDFE3F0" w14:textId="77777777" w:rsidTr="005579AA">
        <w:trPr>
          <w:trHeight w:val="947"/>
        </w:trPr>
        <w:tc>
          <w:tcPr>
            <w:tcW w:w="5137" w:type="dxa"/>
            <w:shd w:val="clear" w:color="auto" w:fill="D9E2F3" w:themeFill="accent1" w:themeFillTint="33"/>
          </w:tcPr>
          <w:p w14:paraId="76E7DFD2" w14:textId="68836560" w:rsidR="000F5C9E" w:rsidRDefault="00960B93" w:rsidP="00C247BA">
            <w:pPr>
              <w:pStyle w:val="TableParagraph"/>
              <w:spacing w:before="3"/>
              <w:ind w:left="0"/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color w:val="2F5496" w:themeColor="accent1" w:themeShade="BF"/>
                <w:sz w:val="24"/>
                <w:szCs w:val="24"/>
              </w:rPr>
              <w:t xml:space="preserve">Physical Abuse </w:t>
            </w:r>
          </w:p>
        </w:tc>
        <w:tc>
          <w:tcPr>
            <w:tcW w:w="9661" w:type="dxa"/>
            <w:shd w:val="clear" w:color="auto" w:fill="D9E2F3" w:themeFill="accent1" w:themeFillTint="33"/>
          </w:tcPr>
          <w:p w14:paraId="38826816" w14:textId="09B3600B" w:rsidR="000F5C9E" w:rsidRDefault="00960B93" w:rsidP="0048159D">
            <w:pPr>
              <w:pStyle w:val="TableParagraph"/>
              <w:spacing w:before="120" w:line="235" w:lineRule="auto"/>
              <w:ind w:left="0" w:right="278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 xml:space="preserve">May include </w:t>
            </w:r>
            <w:r w:rsidR="00E45D3F">
              <w:rPr>
                <w:color w:val="2F5496" w:themeColor="accent1" w:themeShade="BF"/>
                <w:sz w:val="20"/>
                <w:szCs w:val="20"/>
              </w:rPr>
              <w:t xml:space="preserve">assault such as </w:t>
            </w:r>
            <w:r>
              <w:rPr>
                <w:color w:val="2F5496" w:themeColor="accent1" w:themeShade="BF"/>
                <w:sz w:val="20"/>
                <w:szCs w:val="20"/>
              </w:rPr>
              <w:t xml:space="preserve">hitting, </w:t>
            </w:r>
            <w:r w:rsidR="00E45D3F">
              <w:rPr>
                <w:color w:val="2F5496" w:themeColor="accent1" w:themeShade="BF"/>
                <w:sz w:val="20"/>
                <w:szCs w:val="20"/>
              </w:rPr>
              <w:t xml:space="preserve">slapping, </w:t>
            </w:r>
            <w:r w:rsidR="00EC659B">
              <w:rPr>
                <w:color w:val="2F5496" w:themeColor="accent1" w:themeShade="BF"/>
                <w:sz w:val="20"/>
                <w:szCs w:val="20"/>
              </w:rPr>
              <w:t xml:space="preserve">pushing which results in injury or distress, restraint, inappropriate </w:t>
            </w:r>
            <w:r w:rsidR="00CC7F68">
              <w:rPr>
                <w:color w:val="2F5496" w:themeColor="accent1" w:themeShade="BF"/>
                <w:sz w:val="20"/>
                <w:szCs w:val="20"/>
              </w:rPr>
              <w:t>physical sanctions.  Ongoing unexplained marking or lesions</w:t>
            </w:r>
            <w:r w:rsidR="00FC5C28">
              <w:rPr>
                <w:color w:val="2F5496" w:themeColor="accent1" w:themeShade="BF"/>
                <w:sz w:val="20"/>
                <w:szCs w:val="20"/>
              </w:rPr>
              <w:t xml:space="preserve">, cuts or grip marks.  </w:t>
            </w:r>
          </w:p>
        </w:tc>
      </w:tr>
      <w:tr w:rsidR="00C54C2B" w:rsidRPr="0005726E" w14:paraId="35B8F549" w14:textId="77777777" w:rsidTr="005579AA">
        <w:trPr>
          <w:trHeight w:val="947"/>
        </w:trPr>
        <w:tc>
          <w:tcPr>
            <w:tcW w:w="5137" w:type="dxa"/>
            <w:shd w:val="clear" w:color="auto" w:fill="D9E2F3" w:themeFill="accent1" w:themeFillTint="33"/>
          </w:tcPr>
          <w:p w14:paraId="047C982C" w14:textId="3EE3CF21" w:rsidR="00C54C2B" w:rsidRDefault="00CE001D" w:rsidP="00C247BA">
            <w:pPr>
              <w:pStyle w:val="TableParagraph"/>
              <w:spacing w:before="3"/>
              <w:ind w:left="0"/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color w:val="2F5496" w:themeColor="accent1" w:themeShade="BF"/>
                <w:sz w:val="24"/>
                <w:szCs w:val="24"/>
              </w:rPr>
              <w:t>Self-Neglect</w:t>
            </w:r>
            <w:r w:rsidR="00C54C2B">
              <w:rPr>
                <w:b/>
                <w:color w:val="2F5496" w:themeColor="accent1" w:themeShade="BF"/>
                <w:sz w:val="24"/>
                <w:szCs w:val="24"/>
              </w:rPr>
              <w:t xml:space="preserve"> and Hoarding </w:t>
            </w:r>
          </w:p>
        </w:tc>
        <w:tc>
          <w:tcPr>
            <w:tcW w:w="9661" w:type="dxa"/>
            <w:shd w:val="clear" w:color="auto" w:fill="D9E2F3" w:themeFill="accent1" w:themeFillTint="33"/>
          </w:tcPr>
          <w:p w14:paraId="3AE6723A" w14:textId="522B9597" w:rsidR="00C54C2B" w:rsidRDefault="005815D8" w:rsidP="0048159D">
            <w:pPr>
              <w:pStyle w:val="TableParagraph"/>
              <w:spacing w:before="120" w:line="235" w:lineRule="auto"/>
              <w:ind w:left="0" w:right="278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 xml:space="preserve">Serious risk associated with hoarding behaviours.  Refer to Self-Neglect Policy </w:t>
            </w:r>
          </w:p>
        </w:tc>
      </w:tr>
      <w:tr w:rsidR="00FF7944" w:rsidRPr="0005726E" w14:paraId="09C5294B" w14:textId="77777777" w:rsidTr="005579AA">
        <w:trPr>
          <w:trHeight w:val="947"/>
        </w:trPr>
        <w:tc>
          <w:tcPr>
            <w:tcW w:w="5137" w:type="dxa"/>
            <w:shd w:val="clear" w:color="auto" w:fill="D9E2F3" w:themeFill="accent1" w:themeFillTint="33"/>
          </w:tcPr>
          <w:p w14:paraId="4ADA17BD" w14:textId="47EACD4E" w:rsidR="00FF7944" w:rsidRDefault="00400BD2" w:rsidP="00C247BA">
            <w:pPr>
              <w:pStyle w:val="TableParagraph"/>
              <w:spacing w:before="3"/>
              <w:ind w:left="0"/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color w:val="2F5496" w:themeColor="accent1" w:themeShade="BF"/>
                <w:sz w:val="24"/>
                <w:szCs w:val="24"/>
              </w:rPr>
              <w:t xml:space="preserve">Sexual Abuse </w:t>
            </w:r>
          </w:p>
        </w:tc>
        <w:tc>
          <w:tcPr>
            <w:tcW w:w="9661" w:type="dxa"/>
            <w:shd w:val="clear" w:color="auto" w:fill="D9E2F3" w:themeFill="accent1" w:themeFillTint="33"/>
          </w:tcPr>
          <w:p w14:paraId="2BCD9B22" w14:textId="0D137F90" w:rsidR="00FF7944" w:rsidRDefault="00400BD2" w:rsidP="0048159D">
            <w:pPr>
              <w:pStyle w:val="TableParagraph"/>
              <w:spacing w:before="120" w:line="235" w:lineRule="auto"/>
              <w:ind w:left="0" w:right="278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 xml:space="preserve">May include rape, indecent exposure, sexual harassment, grooming, inappropriate looking or touching, sexual teasing </w:t>
            </w:r>
            <w:r w:rsidR="00664275">
              <w:rPr>
                <w:color w:val="2F5496" w:themeColor="accent1" w:themeShade="BF"/>
                <w:sz w:val="20"/>
                <w:szCs w:val="20"/>
              </w:rPr>
              <w:t xml:space="preserve">or innuendo, sexual </w:t>
            </w:r>
            <w:r w:rsidR="00C31E92">
              <w:rPr>
                <w:color w:val="2F5496" w:themeColor="accent1" w:themeShade="BF"/>
                <w:sz w:val="20"/>
                <w:szCs w:val="20"/>
              </w:rPr>
              <w:t xml:space="preserve">photography, subjected to pornography or witnessing sexual acts, indecent exposure, </w:t>
            </w:r>
            <w:r w:rsidR="00716D61">
              <w:rPr>
                <w:color w:val="2F5496" w:themeColor="accent1" w:themeShade="BF"/>
                <w:sz w:val="20"/>
                <w:szCs w:val="20"/>
              </w:rPr>
              <w:t xml:space="preserve">sexual assault, FGM or sexual acts to which the adult has not or cannot consent </w:t>
            </w:r>
            <w:r w:rsidR="00BB25B8">
              <w:rPr>
                <w:color w:val="2F5496" w:themeColor="accent1" w:themeShade="BF"/>
                <w:sz w:val="20"/>
                <w:szCs w:val="20"/>
              </w:rPr>
              <w:t>or was pressurised to consent</w:t>
            </w:r>
          </w:p>
        </w:tc>
      </w:tr>
      <w:tr w:rsidR="00640AD6" w:rsidRPr="0005726E" w14:paraId="520E9684" w14:textId="77777777" w:rsidTr="005579AA">
        <w:trPr>
          <w:trHeight w:val="947"/>
        </w:trPr>
        <w:tc>
          <w:tcPr>
            <w:tcW w:w="5137" w:type="dxa"/>
            <w:shd w:val="clear" w:color="auto" w:fill="D9E2F3" w:themeFill="accent1" w:themeFillTint="33"/>
          </w:tcPr>
          <w:p w14:paraId="6EDC3367" w14:textId="42FB2346" w:rsidR="00640AD6" w:rsidRDefault="00640AD6" w:rsidP="00C247BA">
            <w:pPr>
              <w:pStyle w:val="TableParagraph"/>
              <w:spacing w:before="3"/>
              <w:ind w:left="0"/>
              <w:jc w:val="center"/>
              <w:rPr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b/>
                <w:color w:val="2F5496" w:themeColor="accent1" w:themeShade="BF"/>
                <w:sz w:val="24"/>
                <w:szCs w:val="24"/>
              </w:rPr>
              <w:t xml:space="preserve">Unsafe Discharge from Hospital </w:t>
            </w:r>
          </w:p>
        </w:tc>
        <w:tc>
          <w:tcPr>
            <w:tcW w:w="9661" w:type="dxa"/>
            <w:shd w:val="clear" w:color="auto" w:fill="D9E2F3" w:themeFill="accent1" w:themeFillTint="33"/>
          </w:tcPr>
          <w:p w14:paraId="10ACD907" w14:textId="1413481E" w:rsidR="00640AD6" w:rsidRDefault="00640AD6" w:rsidP="0048159D">
            <w:pPr>
              <w:pStyle w:val="TableParagraph"/>
              <w:spacing w:before="120" w:line="235" w:lineRule="auto"/>
              <w:ind w:left="0" w:right="278"/>
              <w:rPr>
                <w:color w:val="2F5496" w:themeColor="accent1" w:themeShade="BF"/>
                <w:sz w:val="20"/>
                <w:szCs w:val="20"/>
              </w:rPr>
            </w:pPr>
            <w:r>
              <w:rPr>
                <w:color w:val="2F5496" w:themeColor="accent1" w:themeShade="BF"/>
                <w:sz w:val="20"/>
                <w:szCs w:val="20"/>
              </w:rPr>
              <w:t>May include failure of access to appropriate medications of equipment to support recovery at the location of transfer.</w:t>
            </w:r>
          </w:p>
        </w:tc>
      </w:tr>
    </w:tbl>
    <w:p w14:paraId="3589B479" w14:textId="77777777" w:rsidR="005579AA" w:rsidRPr="009760E4" w:rsidRDefault="005579AA" w:rsidP="005579AA">
      <w:pPr>
        <w:tabs>
          <w:tab w:val="left" w:pos="1119"/>
          <w:tab w:val="left" w:pos="1120"/>
        </w:tabs>
        <w:spacing w:before="2" w:line="256" w:lineRule="auto"/>
        <w:ind w:right="209"/>
        <w:rPr>
          <w:rFonts w:ascii="Arial" w:hAnsi="Arial" w:cs="Arial"/>
          <w:sz w:val="24"/>
        </w:rPr>
      </w:pPr>
    </w:p>
    <w:p w14:paraId="7EDD45F1" w14:textId="3A26F7A3" w:rsidR="005579AA" w:rsidRDefault="005579AA" w:rsidP="005579AA">
      <w:pPr>
        <w:rPr>
          <w:rFonts w:ascii="Arial" w:hAnsi="Arial" w:cs="Arial"/>
          <w:sz w:val="40"/>
          <w:szCs w:val="40"/>
        </w:rPr>
      </w:pPr>
      <w:r w:rsidRPr="0011258A"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24D4E1" wp14:editId="7193476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196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0" y="60"/>
                            <a:ext cx="16600" cy="0"/>
                          </a:xfrm>
                          <a:prstGeom prst="line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0" y="0"/>
                            <a:ext cx="0" cy="11909"/>
                          </a:xfrm>
                          <a:prstGeom prst="line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780" y="0"/>
                            <a:ext cx="0" cy="11909"/>
                          </a:xfrm>
                          <a:prstGeom prst="line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0" y="11849"/>
                            <a:ext cx="16600" cy="0"/>
                          </a:xfrm>
                          <a:prstGeom prst="line">
                            <a:avLst/>
                          </a:prstGeom>
                          <a:ln w="38100"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20104" id="Group 1" o:spid="_x0000_s1026" style="position:absolute;margin-left:0;margin-top:0;width:842.05pt;height:595.45pt;z-index:-251657216;mso-position-horizontal-relative:page;mso-position-vertical-relative:page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">
                <v:line id="Line 3" o:spid="_x0000_s1027" style="position:absolute;visibility:visible;mso-wrap-style:square" from="120,60" to="1672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" strokecolor="#4472c4 [3204]" strokeweight="3pt">
                  <v:stroke joinstyle="miter"/>
                </v:line>
                <v:line id="Line 4" o:spid="_x0000_s1028" style="position:absolute;visibility:visible;mso-wrap-style:square" from="60,0" to="60,1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" strokecolor="#4472c4 [3204]" strokeweight="3pt">
                  <v:stroke joinstyle="miter"/>
                </v:line>
                <v:line id="Line 5" o:spid="_x0000_s1029" style="position:absolute;visibility:visible;mso-wrap-style:square" from="16780,0" to="16780,1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" strokecolor="#4472c4 [3204]" strokeweight="3pt">
                  <v:stroke joinstyle="miter"/>
                </v:line>
                <v:line id="Line 6" o:spid="_x0000_s1030" style="position:absolute;visibility:visible;mso-wrap-style:square" from="120,11849" to="16720,11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" strokecolor="#4472c4 [3204]" strokeweight="3pt">
                  <v:stroke joinstyle="miter"/>
                </v:line>
                <w10:wrap anchorx="page" anchory="page"/>
              </v:group>
            </w:pict>
          </mc:Fallback>
        </mc:AlternateContent>
      </w:r>
    </w:p>
    <w:p w14:paraId="439EC3D5" w14:textId="32C98088" w:rsidR="008E15C4" w:rsidRDefault="008E15C4"/>
    <w:p w14:paraId="7754BDF1" w14:textId="0907ACE8" w:rsidR="00A106B4" w:rsidRDefault="00A106B4"/>
    <w:p w14:paraId="0680F88E" w14:textId="1CCC22E0" w:rsidR="00A106B4" w:rsidRDefault="00A106B4"/>
    <w:p w14:paraId="5E62A332" w14:textId="091B9B5F" w:rsidR="00A106B4" w:rsidRDefault="00A106B4"/>
    <w:p w14:paraId="032435B3" w14:textId="1F2CD19F" w:rsidR="00A106B4" w:rsidRDefault="00A106B4"/>
    <w:p w14:paraId="15728015" w14:textId="64A85C66" w:rsidR="00A106B4" w:rsidRDefault="00A106B4"/>
    <w:p w14:paraId="29EDACCB" w14:textId="1E0AA544" w:rsidR="00A106B4" w:rsidRDefault="00A106B4"/>
    <w:p w14:paraId="1972DA0D" w14:textId="6623EEF9" w:rsidR="00A106B4" w:rsidRDefault="00A106B4"/>
    <w:p w14:paraId="0B93C6E3" w14:textId="3F41B2AE" w:rsidR="00A106B4" w:rsidRDefault="00A106B4"/>
    <w:p w14:paraId="56708A3C" w14:textId="36741583" w:rsidR="00A106B4" w:rsidRDefault="00A106B4"/>
    <w:p w14:paraId="1E6A03C8" w14:textId="641FC42E" w:rsidR="00A106B4" w:rsidRDefault="00A106B4"/>
    <w:p w14:paraId="3670FE1B" w14:textId="6F0C06EA" w:rsidR="00A106B4" w:rsidRDefault="00A106B4"/>
    <w:sectPr w:rsidR="00A106B4" w:rsidSect="00F10A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0A1C" w14:textId="77777777" w:rsidR="00CB5DDD" w:rsidRDefault="00CB5DDD" w:rsidP="004F7DBB">
      <w:pPr>
        <w:spacing w:after="0" w:line="240" w:lineRule="auto"/>
      </w:pPr>
      <w:r>
        <w:separator/>
      </w:r>
    </w:p>
  </w:endnote>
  <w:endnote w:type="continuationSeparator" w:id="0">
    <w:p w14:paraId="4E62EDA9" w14:textId="77777777" w:rsidR="00CB5DDD" w:rsidRDefault="00CB5DDD" w:rsidP="004F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FE205" w14:textId="77777777" w:rsidR="00CB5DDD" w:rsidRDefault="00CB5DDD" w:rsidP="004F7DBB">
      <w:pPr>
        <w:spacing w:after="0" w:line="240" w:lineRule="auto"/>
      </w:pPr>
      <w:r>
        <w:separator/>
      </w:r>
    </w:p>
  </w:footnote>
  <w:footnote w:type="continuationSeparator" w:id="0">
    <w:p w14:paraId="6ADC1106" w14:textId="77777777" w:rsidR="00CB5DDD" w:rsidRDefault="00CB5DDD" w:rsidP="004F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020"/>
    <w:multiLevelType w:val="hybridMultilevel"/>
    <w:tmpl w:val="1D3C0F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1D08"/>
    <w:multiLevelType w:val="hybridMultilevel"/>
    <w:tmpl w:val="D598DA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361F3"/>
    <w:multiLevelType w:val="hybridMultilevel"/>
    <w:tmpl w:val="E7A2CAC6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60D83"/>
    <w:multiLevelType w:val="hybridMultilevel"/>
    <w:tmpl w:val="0974EA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B7CA4"/>
    <w:multiLevelType w:val="hybridMultilevel"/>
    <w:tmpl w:val="D026FD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60EB"/>
    <w:multiLevelType w:val="hybridMultilevel"/>
    <w:tmpl w:val="E918C4F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F21E37"/>
    <w:multiLevelType w:val="hybridMultilevel"/>
    <w:tmpl w:val="A95E24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04E1E"/>
    <w:multiLevelType w:val="hybridMultilevel"/>
    <w:tmpl w:val="76CAC0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D3F06"/>
    <w:multiLevelType w:val="hybridMultilevel"/>
    <w:tmpl w:val="35CEA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0072F"/>
    <w:multiLevelType w:val="hybridMultilevel"/>
    <w:tmpl w:val="A112A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AA"/>
    <w:rsid w:val="00031E33"/>
    <w:rsid w:val="00046A66"/>
    <w:rsid w:val="00046AC3"/>
    <w:rsid w:val="00046F5D"/>
    <w:rsid w:val="00087A96"/>
    <w:rsid w:val="000B5C28"/>
    <w:rsid w:val="000C043F"/>
    <w:rsid w:val="000D37E5"/>
    <w:rsid w:val="000F5C9E"/>
    <w:rsid w:val="00116850"/>
    <w:rsid w:val="00126ABF"/>
    <w:rsid w:val="001536CF"/>
    <w:rsid w:val="00193C34"/>
    <w:rsid w:val="001C3041"/>
    <w:rsid w:val="001C307E"/>
    <w:rsid w:val="001E3FBB"/>
    <w:rsid w:val="002031F6"/>
    <w:rsid w:val="00211C29"/>
    <w:rsid w:val="00231D38"/>
    <w:rsid w:val="00233D51"/>
    <w:rsid w:val="002350DF"/>
    <w:rsid w:val="0023796B"/>
    <w:rsid w:val="00251709"/>
    <w:rsid w:val="00262106"/>
    <w:rsid w:val="00270502"/>
    <w:rsid w:val="00275A4E"/>
    <w:rsid w:val="00281306"/>
    <w:rsid w:val="00295BAA"/>
    <w:rsid w:val="002A2AB9"/>
    <w:rsid w:val="002A372F"/>
    <w:rsid w:val="002C2E55"/>
    <w:rsid w:val="002D429B"/>
    <w:rsid w:val="002E49D4"/>
    <w:rsid w:val="002E7FCD"/>
    <w:rsid w:val="00301A38"/>
    <w:rsid w:val="00321D6D"/>
    <w:rsid w:val="00325122"/>
    <w:rsid w:val="00345FA3"/>
    <w:rsid w:val="00350BFF"/>
    <w:rsid w:val="003762DB"/>
    <w:rsid w:val="003840B9"/>
    <w:rsid w:val="003935AD"/>
    <w:rsid w:val="003C48CF"/>
    <w:rsid w:val="003C5A9B"/>
    <w:rsid w:val="003C7573"/>
    <w:rsid w:val="003D1A7C"/>
    <w:rsid w:val="003E2F61"/>
    <w:rsid w:val="00400BD2"/>
    <w:rsid w:val="004360F6"/>
    <w:rsid w:val="00462654"/>
    <w:rsid w:val="00463070"/>
    <w:rsid w:val="00466EB2"/>
    <w:rsid w:val="00472627"/>
    <w:rsid w:val="0048159D"/>
    <w:rsid w:val="004C72FC"/>
    <w:rsid w:val="004D13E9"/>
    <w:rsid w:val="004F3DF0"/>
    <w:rsid w:val="004F6FFC"/>
    <w:rsid w:val="004F7DBB"/>
    <w:rsid w:val="00500AF6"/>
    <w:rsid w:val="00516298"/>
    <w:rsid w:val="00516949"/>
    <w:rsid w:val="005222C7"/>
    <w:rsid w:val="00526A6F"/>
    <w:rsid w:val="005443B7"/>
    <w:rsid w:val="005579AA"/>
    <w:rsid w:val="005618BF"/>
    <w:rsid w:val="00571605"/>
    <w:rsid w:val="005815D8"/>
    <w:rsid w:val="00582591"/>
    <w:rsid w:val="00584277"/>
    <w:rsid w:val="005854BC"/>
    <w:rsid w:val="005951FC"/>
    <w:rsid w:val="0059521C"/>
    <w:rsid w:val="005953D3"/>
    <w:rsid w:val="0059785F"/>
    <w:rsid w:val="005A5DC6"/>
    <w:rsid w:val="005C41F4"/>
    <w:rsid w:val="005D5C4B"/>
    <w:rsid w:val="005F4F03"/>
    <w:rsid w:val="005F77D2"/>
    <w:rsid w:val="005F7CCF"/>
    <w:rsid w:val="006079E0"/>
    <w:rsid w:val="006178AE"/>
    <w:rsid w:val="00617E07"/>
    <w:rsid w:val="0062244E"/>
    <w:rsid w:val="00625B2B"/>
    <w:rsid w:val="00640AD6"/>
    <w:rsid w:val="00654298"/>
    <w:rsid w:val="00656C40"/>
    <w:rsid w:val="00663B40"/>
    <w:rsid w:val="00664275"/>
    <w:rsid w:val="0069109E"/>
    <w:rsid w:val="00691430"/>
    <w:rsid w:val="00692852"/>
    <w:rsid w:val="006B2E4D"/>
    <w:rsid w:val="006C5F3B"/>
    <w:rsid w:val="006D3502"/>
    <w:rsid w:val="00716D61"/>
    <w:rsid w:val="0074701C"/>
    <w:rsid w:val="00764D04"/>
    <w:rsid w:val="007C2D90"/>
    <w:rsid w:val="007D3F71"/>
    <w:rsid w:val="007D60DA"/>
    <w:rsid w:val="007E5159"/>
    <w:rsid w:val="007E6C81"/>
    <w:rsid w:val="007F5CA7"/>
    <w:rsid w:val="00807CAC"/>
    <w:rsid w:val="008313D0"/>
    <w:rsid w:val="00852CA3"/>
    <w:rsid w:val="0086663A"/>
    <w:rsid w:val="0088074A"/>
    <w:rsid w:val="0088184A"/>
    <w:rsid w:val="00886A3D"/>
    <w:rsid w:val="008A1A46"/>
    <w:rsid w:val="008A68BB"/>
    <w:rsid w:val="008C3E56"/>
    <w:rsid w:val="008C7B8E"/>
    <w:rsid w:val="008D2C91"/>
    <w:rsid w:val="008E15C4"/>
    <w:rsid w:val="008F42D7"/>
    <w:rsid w:val="008F749A"/>
    <w:rsid w:val="00904BEC"/>
    <w:rsid w:val="009111A0"/>
    <w:rsid w:val="00913896"/>
    <w:rsid w:val="00921807"/>
    <w:rsid w:val="009222BF"/>
    <w:rsid w:val="009317FF"/>
    <w:rsid w:val="00950C30"/>
    <w:rsid w:val="009550B2"/>
    <w:rsid w:val="00960B93"/>
    <w:rsid w:val="0097680A"/>
    <w:rsid w:val="00981995"/>
    <w:rsid w:val="00991545"/>
    <w:rsid w:val="0099382D"/>
    <w:rsid w:val="009A6F0C"/>
    <w:rsid w:val="009A78EA"/>
    <w:rsid w:val="009C2257"/>
    <w:rsid w:val="009D0373"/>
    <w:rsid w:val="009E609D"/>
    <w:rsid w:val="00A06949"/>
    <w:rsid w:val="00A07FE0"/>
    <w:rsid w:val="00A106B4"/>
    <w:rsid w:val="00A15258"/>
    <w:rsid w:val="00A314C4"/>
    <w:rsid w:val="00A35495"/>
    <w:rsid w:val="00A37CC2"/>
    <w:rsid w:val="00A442E9"/>
    <w:rsid w:val="00A745A1"/>
    <w:rsid w:val="00A92370"/>
    <w:rsid w:val="00AA697D"/>
    <w:rsid w:val="00AE7443"/>
    <w:rsid w:val="00AF7961"/>
    <w:rsid w:val="00AF7BD9"/>
    <w:rsid w:val="00B477DC"/>
    <w:rsid w:val="00B51BFE"/>
    <w:rsid w:val="00B54DBA"/>
    <w:rsid w:val="00B64A3E"/>
    <w:rsid w:val="00B85341"/>
    <w:rsid w:val="00B91722"/>
    <w:rsid w:val="00BA3463"/>
    <w:rsid w:val="00BA44FC"/>
    <w:rsid w:val="00BB122B"/>
    <w:rsid w:val="00BB25B8"/>
    <w:rsid w:val="00BC1365"/>
    <w:rsid w:val="00C05E18"/>
    <w:rsid w:val="00C21196"/>
    <w:rsid w:val="00C247BA"/>
    <w:rsid w:val="00C31E92"/>
    <w:rsid w:val="00C44A4D"/>
    <w:rsid w:val="00C47B11"/>
    <w:rsid w:val="00C54C2B"/>
    <w:rsid w:val="00C5515D"/>
    <w:rsid w:val="00C64F20"/>
    <w:rsid w:val="00C66FF3"/>
    <w:rsid w:val="00C83B17"/>
    <w:rsid w:val="00CB5DDD"/>
    <w:rsid w:val="00CB713B"/>
    <w:rsid w:val="00CC224B"/>
    <w:rsid w:val="00CC7F68"/>
    <w:rsid w:val="00CD6EF4"/>
    <w:rsid w:val="00CD7FF1"/>
    <w:rsid w:val="00CE001D"/>
    <w:rsid w:val="00D32A16"/>
    <w:rsid w:val="00D35A2A"/>
    <w:rsid w:val="00D66075"/>
    <w:rsid w:val="00D73605"/>
    <w:rsid w:val="00D94B6F"/>
    <w:rsid w:val="00DA61D6"/>
    <w:rsid w:val="00DB1605"/>
    <w:rsid w:val="00DD12EB"/>
    <w:rsid w:val="00E45D3F"/>
    <w:rsid w:val="00E74B9D"/>
    <w:rsid w:val="00EA5DFB"/>
    <w:rsid w:val="00EB65C8"/>
    <w:rsid w:val="00EC659B"/>
    <w:rsid w:val="00ED0279"/>
    <w:rsid w:val="00ED4A5A"/>
    <w:rsid w:val="00EE0772"/>
    <w:rsid w:val="00F2585A"/>
    <w:rsid w:val="00F55C99"/>
    <w:rsid w:val="00F731E1"/>
    <w:rsid w:val="00F82AEB"/>
    <w:rsid w:val="00F9661E"/>
    <w:rsid w:val="00FA20D9"/>
    <w:rsid w:val="00FA56C9"/>
    <w:rsid w:val="00FB0CB5"/>
    <w:rsid w:val="00FB2404"/>
    <w:rsid w:val="00FC5C28"/>
    <w:rsid w:val="00FD327B"/>
    <w:rsid w:val="00FD6F68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E9836"/>
  <w15:chartTrackingRefBased/>
  <w15:docId w15:val="{D8AB6B50-DF27-4D26-B398-87E97252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579AA"/>
    <w:pPr>
      <w:widowControl w:val="0"/>
      <w:autoSpaceDE w:val="0"/>
      <w:autoSpaceDN w:val="0"/>
      <w:spacing w:after="0" w:line="240" w:lineRule="auto"/>
      <w:ind w:left="827"/>
    </w:pPr>
    <w:rPr>
      <w:rFonts w:ascii="Arial" w:eastAsia="Arial" w:hAnsi="Arial" w:cs="Arial"/>
      <w:lang w:eastAsia="en-GB" w:bidi="en-GB"/>
    </w:rPr>
  </w:style>
  <w:style w:type="paragraph" w:customStyle="1" w:styleId="Default">
    <w:name w:val="Default"/>
    <w:rsid w:val="005579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00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B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B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B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B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3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DBB"/>
  </w:style>
  <w:style w:type="paragraph" w:styleId="Footer">
    <w:name w:val="footer"/>
    <w:basedOn w:val="Normal"/>
    <w:link w:val="FooterChar"/>
    <w:uiPriority w:val="99"/>
    <w:unhideWhenUsed/>
    <w:rsid w:val="004F7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45B83E17F82488382C375CD0EA947" ma:contentTypeVersion="12" ma:contentTypeDescription="Create a new document." ma:contentTypeScope="" ma:versionID="0189d00d8b255d3d5e50b13c538cb982">
  <xsd:schema xmlns:xsd="http://www.w3.org/2001/XMLSchema" xmlns:xs="http://www.w3.org/2001/XMLSchema" xmlns:p="http://schemas.microsoft.com/office/2006/metadata/properties" xmlns:ns3="1f5e287b-8d42-40aa-be9e-9d370bc8a2b2" xmlns:ns4="38ae9a1b-7522-414d-b528-52d64aeb8a75" targetNamespace="http://schemas.microsoft.com/office/2006/metadata/properties" ma:root="true" ma:fieldsID="43af9d12e991b516e36c51a2a0a3dbca" ns3:_="" ns4:_="">
    <xsd:import namespace="1f5e287b-8d42-40aa-be9e-9d370bc8a2b2"/>
    <xsd:import namespace="38ae9a1b-7522-414d-b528-52d64aeb8a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e287b-8d42-40aa-be9e-9d370bc8a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e9a1b-7522-414d-b528-52d64aeb8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53498-8D2A-4E5F-9221-E97F6C756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e287b-8d42-40aa-be9e-9d370bc8a2b2"/>
    <ds:schemaRef ds:uri="38ae9a1b-7522-414d-b528-52d64aeb8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C2192-CB2A-40C3-87A5-44FA0C37D62C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8ae9a1b-7522-414d-b528-52d64aeb8a75"/>
    <ds:schemaRef ds:uri="1f5e287b-8d42-40aa-be9e-9d370bc8a2b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D5F7F7-D1A0-46B7-B2F6-2A4BE2A28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844</Words>
  <Characters>4814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Coupe</dc:creator>
  <cp:keywords/>
  <dc:description/>
  <cp:lastModifiedBy>Joan Coupe</cp:lastModifiedBy>
  <cp:revision>2</cp:revision>
  <cp:lastPrinted>2021-05-11T10:11:00Z</cp:lastPrinted>
  <dcterms:created xsi:type="dcterms:W3CDTF">2022-05-10T11:38:00Z</dcterms:created>
  <dcterms:modified xsi:type="dcterms:W3CDTF">2022-05-10T11:38:00Z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0x010100EDF45B83E17F82488382C375CD0EA947</vt:lpwstr>
  </property>
</Properties>
</file>