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3C3D9EF2" w:rsidR="00A95521" w:rsidRPr="00D11951" w:rsidRDefault="00746BC2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</w:t>
            </w:r>
            <w:r w:rsidR="00BC2A25">
              <w:rPr>
                <w:rFonts w:ascii="Arial" w:hAnsi="Arial" w:cs="Arial"/>
                <w:b/>
              </w:rPr>
              <w:t>09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15BFBCBD" w:rsidR="00A95521" w:rsidRPr="00D11951" w:rsidRDefault="00746BC2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12noon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4867F6FC" w:rsidR="00A95521" w:rsidRPr="00D11951" w:rsidRDefault="00B96322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 Buildings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139E8C74" w:rsidR="00A95521" w:rsidRPr="00D11951" w:rsidRDefault="00440033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Inspection of C</w:t>
            </w:r>
            <w:r w:rsidR="00EA7DE9">
              <w:rPr>
                <w:rFonts w:ascii="Arial" w:hAnsi="Arial" w:cs="Arial"/>
                <w:b/>
              </w:rPr>
              <w:t>losed Building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70314D7C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BC2A25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25D9EE01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342F43">
              <w:rPr>
                <w:rFonts w:cs="Arial"/>
                <w:b/>
                <w:sz w:val="20"/>
                <w:szCs w:val="20"/>
              </w:rPr>
              <w:t>zero except weekly checks and maintenance visits</w:t>
            </w:r>
            <w:r w:rsidR="001172D2">
              <w:rPr>
                <w:rFonts w:cs="Arial"/>
                <w:b/>
                <w:sz w:val="20"/>
                <w:szCs w:val="20"/>
              </w:rPr>
              <w:t xml:space="preserve">. Previously the building housed </w:t>
            </w:r>
            <w:r w:rsidR="00423267">
              <w:rPr>
                <w:rFonts w:cs="Arial"/>
                <w:b/>
                <w:sz w:val="20"/>
                <w:szCs w:val="20"/>
              </w:rPr>
              <w:t xml:space="preserve">up to </w:t>
            </w:r>
            <w:r w:rsidR="001172D2">
              <w:rPr>
                <w:rFonts w:cs="Arial"/>
                <w:b/>
                <w:sz w:val="20"/>
                <w:szCs w:val="20"/>
              </w:rPr>
              <w:t>16 staff</w:t>
            </w:r>
            <w:r w:rsidR="00423267">
              <w:rPr>
                <w:rFonts w:cs="Arial"/>
                <w:b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D543A70" w14:textId="77777777" w:rsidR="00A95521" w:rsidRDefault="00A95521" w:rsidP="00945BE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5591204" w14:textId="10580F6B" w:rsidR="001078B3" w:rsidRPr="00D11951" w:rsidRDefault="001078B3" w:rsidP="00945BE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DBE71" w14:textId="113FCE12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E1E60" w14:textId="77777777" w:rsidR="00945BEC" w:rsidRDefault="00945BEC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FF044" w14:textId="77777777" w:rsidR="00945BEC" w:rsidRDefault="00945BEC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0FD8B" w14:textId="77777777" w:rsidR="00945BEC" w:rsidRDefault="00945BEC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Transmission of Coronavirus from contact with infected </w:t>
            </w:r>
            <w:r w:rsidRPr="00D11951">
              <w:rPr>
                <w:rFonts w:cs="Arial"/>
                <w:sz w:val="20"/>
                <w:szCs w:val="20"/>
              </w:rPr>
              <w:lastRenderedPageBreak/>
              <w:t>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Staff, agency staff, contractors, suppliers and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008F0FA4" w14:textId="48962A3A" w:rsidR="00033FF6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FF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Staff continue to work from home where possible.</w:t>
            </w:r>
            <w:r w:rsidR="00945BEC" w:rsidRPr="00033FF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If they need to access a </w:t>
            </w:r>
            <w:proofErr w:type="gramStart"/>
            <w:r w:rsidR="00945BEC" w:rsidRPr="00033FF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building</w:t>
            </w:r>
            <w:proofErr w:type="gramEnd"/>
            <w:r w:rsidR="00945BEC" w:rsidRPr="00033FF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they utilise </w:t>
            </w:r>
            <w:r w:rsidR="00033FF6" w:rsidRPr="00033FF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Southport Town Hall</w:t>
            </w:r>
            <w:r w:rsidR="0003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C6384E" w14:textId="77777777" w:rsidR="0042382C" w:rsidRPr="00D11951" w:rsidRDefault="0042382C" w:rsidP="0042382C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A6B10EF" w14:textId="77777777" w:rsidR="0042382C" w:rsidRDefault="0042382C" w:rsidP="0042382C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58F356D9" w14:textId="77777777" w:rsidR="0042382C" w:rsidRDefault="0042382C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1D72D43" w14:textId="70F5A214" w:rsidR="00033FF6" w:rsidRDefault="00033FF6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member of the STH </w:t>
            </w:r>
            <w:r w:rsidR="00AE2B7C">
              <w:rPr>
                <w:rFonts w:cs="Arial"/>
                <w:sz w:val="20"/>
                <w:szCs w:val="20"/>
              </w:rPr>
              <w:t>Attendant</w:t>
            </w:r>
            <w:r>
              <w:rPr>
                <w:rFonts w:cs="Arial"/>
                <w:sz w:val="20"/>
                <w:szCs w:val="20"/>
              </w:rPr>
              <w:t xml:space="preserve"> Team will carry out a weekly inspection of the building and </w:t>
            </w:r>
            <w:r w:rsidR="0042382C">
              <w:rPr>
                <w:rFonts w:cs="Arial"/>
                <w:sz w:val="20"/>
                <w:szCs w:val="20"/>
              </w:rPr>
              <w:t>document the checks that they undertake.</w:t>
            </w:r>
            <w:r w:rsidR="00440033">
              <w:rPr>
                <w:rFonts w:cs="Arial"/>
                <w:sz w:val="20"/>
                <w:szCs w:val="20"/>
              </w:rPr>
              <w:t xml:space="preserve">  They will adhere to the lone working policy</w:t>
            </w:r>
          </w:p>
          <w:p w14:paraId="28F42524" w14:textId="77777777" w:rsidR="0042382C" w:rsidRDefault="0042382C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A50EDE1" w14:textId="6DC2B643" w:rsidR="00033FF6" w:rsidRDefault="00033FF6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Contractors visit site by prior arrangement and their visit is recorded for Track and Trace purposes.</w:t>
            </w:r>
          </w:p>
          <w:p w14:paraId="289785CB" w14:textId="12A836F4" w:rsidR="00033FF6" w:rsidRDefault="00033FF6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94EB590" w14:textId="3FAC53F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Observations, safety walks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</w:tbl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2D084CD5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4D452963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6510AE9D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5D2ABEE7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0184E382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68E421AE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2800CDB2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464ECC95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44B41A2C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1FCB67CA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5510E3D3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36D039D4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63FE6F03" w14:textId="77777777" w:rsidR="001078B3" w:rsidRDefault="001078B3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6D475114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lastRenderedPageBreak/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5288" w14:textId="77777777" w:rsidR="00581466" w:rsidRDefault="00581466" w:rsidP="00446E47">
      <w:pPr>
        <w:spacing w:after="0" w:line="240" w:lineRule="auto"/>
      </w:pPr>
      <w:r>
        <w:separator/>
      </w:r>
    </w:p>
  </w:endnote>
  <w:endnote w:type="continuationSeparator" w:id="0">
    <w:p w14:paraId="035FC5DB" w14:textId="77777777" w:rsidR="00581466" w:rsidRDefault="00581466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F836A" w14:textId="77777777" w:rsidR="00581466" w:rsidRDefault="00581466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14D085F4" w14:textId="77777777" w:rsidR="00581466" w:rsidRDefault="00581466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3FF6"/>
    <w:rsid w:val="00034BB3"/>
    <w:rsid w:val="0003645A"/>
    <w:rsid w:val="00036CF8"/>
    <w:rsid w:val="00036D57"/>
    <w:rsid w:val="00042AAA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078B3"/>
    <w:rsid w:val="0011304B"/>
    <w:rsid w:val="00113821"/>
    <w:rsid w:val="00113BAE"/>
    <w:rsid w:val="001172D2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07DF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490F"/>
    <w:rsid w:val="0022744A"/>
    <w:rsid w:val="00230219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61B4"/>
    <w:rsid w:val="002E0A65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2F43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23267"/>
    <w:rsid w:val="0042382C"/>
    <w:rsid w:val="00431C99"/>
    <w:rsid w:val="00436792"/>
    <w:rsid w:val="00440033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30ED0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1466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46BC2"/>
    <w:rsid w:val="0076058C"/>
    <w:rsid w:val="00761C5C"/>
    <w:rsid w:val="00762A98"/>
    <w:rsid w:val="00764929"/>
    <w:rsid w:val="00765DED"/>
    <w:rsid w:val="0077271E"/>
    <w:rsid w:val="00772E32"/>
    <w:rsid w:val="0079196E"/>
    <w:rsid w:val="00793D2F"/>
    <w:rsid w:val="00797161"/>
    <w:rsid w:val="007A0A30"/>
    <w:rsid w:val="007B2D6F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4AAF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14B2"/>
    <w:rsid w:val="00921947"/>
    <w:rsid w:val="00925EF8"/>
    <w:rsid w:val="009331E4"/>
    <w:rsid w:val="00937A18"/>
    <w:rsid w:val="00937EBC"/>
    <w:rsid w:val="00943076"/>
    <w:rsid w:val="00945BEC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E2B7C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6D53"/>
    <w:rsid w:val="00B94D9E"/>
    <w:rsid w:val="00B96322"/>
    <w:rsid w:val="00BA354C"/>
    <w:rsid w:val="00BA4859"/>
    <w:rsid w:val="00BB4F9D"/>
    <w:rsid w:val="00BB7871"/>
    <w:rsid w:val="00BC1328"/>
    <w:rsid w:val="00BC2A25"/>
    <w:rsid w:val="00BC3E86"/>
    <w:rsid w:val="00BC4E0A"/>
    <w:rsid w:val="00BC7C83"/>
    <w:rsid w:val="00BD0A8F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C0C0F"/>
    <w:rsid w:val="00CD6420"/>
    <w:rsid w:val="00CD7DFF"/>
    <w:rsid w:val="00CE144C"/>
    <w:rsid w:val="00CE1E88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352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2678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A7DE9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8AE7E-C079-46E1-B504-E6B71916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7</cp:revision>
  <cp:lastPrinted>2020-08-03T12:36:00Z</cp:lastPrinted>
  <dcterms:created xsi:type="dcterms:W3CDTF">2020-09-24T10:01:00Z</dcterms:created>
  <dcterms:modified xsi:type="dcterms:W3CDTF">2020-09-24T11:52:00Z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